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32" w:rsidRPr="0062194E" w:rsidRDefault="00306FED" w:rsidP="00605A45">
      <w:pPr>
        <w:jc w:val="center"/>
        <w:rPr>
          <w:rFonts w:eastAsia="標楷體"/>
        </w:rPr>
      </w:pPr>
      <w:r w:rsidRPr="00306FED">
        <w:rPr>
          <w:rFonts w:eastAsia="標楷體" w:hint="eastAsia"/>
        </w:rPr>
        <w:t>「○○股份有限公司股東會議事規則」參考範例</w:t>
      </w:r>
      <w:r w:rsidR="00EA0BC8">
        <w:rPr>
          <w:rFonts w:eastAsia="標楷體" w:hint="eastAsia"/>
        </w:rPr>
        <w:t>部分條文</w:t>
      </w:r>
      <w:r w:rsidR="00EA0BC8" w:rsidRPr="00B76CF1">
        <w:rPr>
          <w:rFonts w:eastAsia="標楷體"/>
        </w:rPr>
        <w:t>修正</w:t>
      </w:r>
      <w:bookmarkStart w:id="0" w:name="_GoBack"/>
      <w:bookmarkEnd w:id="0"/>
      <w:r w:rsidR="00E565D0">
        <w:rPr>
          <w:rFonts w:eastAsia="標楷體" w:hint="eastAsia"/>
        </w:rPr>
        <w:t>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75A90" w:rsidRPr="0062194E" w:rsidTr="00475A90">
        <w:tc>
          <w:tcPr>
            <w:tcW w:w="2765" w:type="dxa"/>
          </w:tcPr>
          <w:p w:rsidR="00475A90" w:rsidRPr="0062194E" w:rsidRDefault="00877F7D" w:rsidP="00BF4EA9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修正條文</w:t>
            </w:r>
          </w:p>
        </w:tc>
        <w:tc>
          <w:tcPr>
            <w:tcW w:w="2765" w:type="dxa"/>
          </w:tcPr>
          <w:p w:rsidR="00475A90" w:rsidRPr="0062194E" w:rsidRDefault="00877F7D" w:rsidP="008E4758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現行條文</w:t>
            </w:r>
          </w:p>
        </w:tc>
        <w:tc>
          <w:tcPr>
            <w:tcW w:w="2766" w:type="dxa"/>
          </w:tcPr>
          <w:p w:rsidR="00475A90" w:rsidRPr="0062194E" w:rsidRDefault="00BC5783" w:rsidP="008E4758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說明</w:t>
            </w:r>
          </w:p>
        </w:tc>
      </w:tr>
      <w:tr w:rsidR="0021422A" w:rsidRPr="00136BF2" w:rsidTr="00475A90">
        <w:tc>
          <w:tcPr>
            <w:tcW w:w="2765" w:type="dxa"/>
          </w:tcPr>
          <w:p w:rsidR="0021422A" w:rsidRPr="0062194E" w:rsidRDefault="0021422A" w:rsidP="0021422A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>第</w:t>
            </w:r>
            <w:r w:rsidR="00015050">
              <w:rPr>
                <w:rFonts w:eastAsia="標楷體" w:hint="eastAsia"/>
              </w:rPr>
              <w:t>三</w:t>
            </w:r>
            <w:r w:rsidRPr="0062194E">
              <w:rPr>
                <w:rFonts w:eastAsia="標楷體"/>
              </w:rPr>
              <w:t>條</w:t>
            </w:r>
          </w:p>
          <w:p w:rsidR="00015050" w:rsidRDefault="00DB4E89" w:rsidP="00015050">
            <w:pPr>
              <w:rPr>
                <w:rFonts w:eastAsia="標楷體"/>
              </w:rPr>
            </w:pPr>
            <w:r w:rsidRPr="00DB4E89">
              <w:rPr>
                <w:rFonts w:eastAsia="標楷體" w:hint="eastAsia"/>
              </w:rPr>
              <w:t>第一、二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015050">
              <w:rPr>
                <w:rFonts w:eastAsia="標楷體" w:hint="eastAsia"/>
              </w:rPr>
              <w:t>三項略。</w:t>
            </w:r>
            <w:r w:rsidR="0021422A" w:rsidRPr="0062194E">
              <w:rPr>
                <w:rFonts w:eastAsia="標楷體"/>
              </w:rPr>
              <w:t xml:space="preserve">   </w:t>
            </w:r>
          </w:p>
          <w:p w:rsidR="00015050" w:rsidRDefault="00015050" w:rsidP="0001505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選任或解任董事、監察人、變更章程、</w:t>
            </w:r>
            <w:r>
              <w:rPr>
                <w:rFonts w:ascii="Times New Roman" w:eastAsia="標楷體" w:hAnsi="Times New Roman" w:cs="Times New Roman"/>
                <w:u w:val="single"/>
              </w:rPr>
              <w:t>減資、申請停止公開發行、董事競業許可、盈餘轉增資、公積轉增資、</w:t>
            </w:r>
            <w:r>
              <w:rPr>
                <w:rFonts w:ascii="Times New Roman" w:eastAsia="標楷體" w:hAnsi="Times New Roman" w:cs="Times New Roman"/>
              </w:rPr>
              <w:t>公司解散、合併、分割或第一百八十五條第一項各款之事項，應在召集事由中列舉</w:t>
            </w:r>
            <w:r>
              <w:rPr>
                <w:rFonts w:ascii="Times New Roman" w:eastAsia="標楷體" w:hAnsi="Times New Roman" w:cs="Times New Roman"/>
                <w:u w:val="single"/>
              </w:rPr>
              <w:t>並說明其主要內容</w:t>
            </w:r>
            <w:r>
              <w:rPr>
                <w:rFonts w:ascii="Times New Roman" w:eastAsia="標楷體" w:hAnsi="Times New Roman" w:cs="Times New Roman"/>
              </w:rPr>
              <w:t>，不得以臨時動議提出</w:t>
            </w:r>
            <w:r>
              <w:rPr>
                <w:rFonts w:ascii="Times New Roman" w:eastAsia="標楷體" w:hAnsi="Times New Roman" w:cs="Times New Roman"/>
                <w:u w:val="single"/>
              </w:rPr>
              <w:t>；其主要內容得置於證券主管機關或公司指定之網站，並應將其網址載明於通知</w:t>
            </w:r>
            <w:r>
              <w:rPr>
                <w:rFonts w:ascii="Times New Roman" w:eastAsia="標楷體" w:hAnsi="Times New Roman" w:cs="Times New Roman"/>
              </w:rPr>
              <w:t>。</w:t>
            </w:r>
          </w:p>
          <w:p w:rsidR="00015050" w:rsidRPr="00015050" w:rsidRDefault="00015050" w:rsidP="00015050">
            <w:pPr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15050">
              <w:rPr>
                <w:rFonts w:ascii="Times New Roman" w:eastAsia="標楷體" w:hAnsi="Times New Roman" w:cs="Times New Roman" w:hint="eastAsia"/>
                <w:u w:val="single"/>
              </w:rPr>
              <w:t>股東會召集事由已載明全面改選董事、監察人，並載明就任日期，該次股東會改選完成後，</w:t>
            </w:r>
            <w:proofErr w:type="gramStart"/>
            <w:r w:rsidRPr="00015050">
              <w:rPr>
                <w:rFonts w:ascii="Times New Roman" w:eastAsia="標楷體" w:hAnsi="Times New Roman" w:cs="Times New Roman" w:hint="eastAsia"/>
                <w:u w:val="single"/>
              </w:rPr>
              <w:t>同次會議</w:t>
            </w:r>
            <w:proofErr w:type="gramEnd"/>
            <w:r w:rsidRPr="00015050">
              <w:rPr>
                <w:rFonts w:ascii="Times New Roman" w:eastAsia="標楷體" w:hAnsi="Times New Roman" w:cs="Times New Roman" w:hint="eastAsia"/>
                <w:u w:val="single"/>
              </w:rPr>
              <w:t>不得再以臨時動議或其他方式變更其就任日期。</w:t>
            </w:r>
          </w:p>
          <w:p w:rsidR="00015050" w:rsidRDefault="00015050" w:rsidP="00015050">
            <w:pPr>
              <w:rPr>
                <w:rFonts w:ascii="Times New Roman" w:eastAsia="標楷體" w:hAnsi="Times New Roman" w:cs="Times New Roman"/>
              </w:rPr>
            </w:pPr>
          </w:p>
          <w:p w:rsidR="0021422A" w:rsidRDefault="00E815A8" w:rsidP="00E815A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E815A8">
              <w:rPr>
                <w:rFonts w:eastAsia="標楷體" w:hint="eastAsia"/>
              </w:rPr>
              <w:t>持有已發行股份總數百分之一以上股份之股東，得向本公司提出股東常會議案</w:t>
            </w:r>
            <w:r w:rsidR="00ED0BE9" w:rsidRPr="00ED0BE9">
              <w:rPr>
                <w:rFonts w:eastAsia="標楷體" w:hint="eastAsia"/>
                <w:u w:val="single"/>
              </w:rPr>
              <w:t>，</w:t>
            </w:r>
            <w:r w:rsidRPr="00E815A8">
              <w:rPr>
                <w:rFonts w:eastAsia="標楷體" w:hint="eastAsia"/>
              </w:rPr>
              <w:t>以一項為限，提案超過</w:t>
            </w:r>
            <w:proofErr w:type="gramStart"/>
            <w:r w:rsidRPr="00E815A8">
              <w:rPr>
                <w:rFonts w:eastAsia="標楷體" w:hint="eastAsia"/>
              </w:rPr>
              <w:t>一</w:t>
            </w:r>
            <w:proofErr w:type="gramEnd"/>
            <w:r w:rsidRPr="00E815A8">
              <w:rPr>
                <w:rFonts w:eastAsia="標楷體" w:hint="eastAsia"/>
              </w:rPr>
              <w:t>項者，</w:t>
            </w:r>
            <w:proofErr w:type="gramStart"/>
            <w:r w:rsidRPr="00E815A8">
              <w:rPr>
                <w:rFonts w:eastAsia="標楷體" w:hint="eastAsia"/>
              </w:rPr>
              <w:t>均不列入</w:t>
            </w:r>
            <w:proofErr w:type="gramEnd"/>
            <w:r w:rsidRPr="00E815A8">
              <w:rPr>
                <w:rFonts w:eastAsia="標楷體" w:hint="eastAsia"/>
              </w:rPr>
              <w:t>議案。</w:t>
            </w:r>
            <w:r w:rsidR="00DD5B14" w:rsidRPr="00DD5B14">
              <w:rPr>
                <w:rFonts w:eastAsia="標楷體" w:hint="eastAsia"/>
                <w:u w:val="single"/>
              </w:rPr>
              <w:t>但股東提案係為敦促公司增進公共利益或善盡社會責任之建議，董事會仍得列入議案。</w:t>
            </w:r>
            <w:r w:rsidRPr="00E815A8">
              <w:rPr>
                <w:rFonts w:eastAsia="標楷體" w:hint="eastAsia"/>
              </w:rPr>
              <w:t>另股東所提議案有公司法第</w:t>
            </w:r>
            <w:r w:rsidRPr="00E815A8">
              <w:rPr>
                <w:rFonts w:eastAsia="標楷體" w:hint="eastAsia"/>
              </w:rPr>
              <w:t xml:space="preserve"> </w:t>
            </w:r>
            <w:r w:rsidRPr="00E815A8">
              <w:rPr>
                <w:rFonts w:eastAsia="標楷體" w:hint="eastAsia"/>
              </w:rPr>
              <w:lastRenderedPageBreak/>
              <w:t>172</w:t>
            </w:r>
            <w:r w:rsidRPr="00E815A8">
              <w:rPr>
                <w:rFonts w:eastAsia="標楷體" w:hint="eastAsia"/>
              </w:rPr>
              <w:t>條之</w:t>
            </w:r>
            <w:r w:rsidRPr="00E815A8">
              <w:rPr>
                <w:rFonts w:eastAsia="標楷體" w:hint="eastAsia"/>
              </w:rPr>
              <w:t>1</w:t>
            </w:r>
            <w:r w:rsidRPr="00E815A8">
              <w:rPr>
                <w:rFonts w:eastAsia="標楷體" w:hint="eastAsia"/>
              </w:rPr>
              <w:t>第</w:t>
            </w:r>
            <w:r w:rsidRPr="00E815A8">
              <w:rPr>
                <w:rFonts w:eastAsia="標楷體" w:hint="eastAsia"/>
              </w:rPr>
              <w:t>4</w:t>
            </w:r>
            <w:r w:rsidRPr="00E815A8">
              <w:rPr>
                <w:rFonts w:eastAsia="標楷體" w:hint="eastAsia"/>
              </w:rPr>
              <w:t>項各款情形之一，董事會得不列為議案。</w:t>
            </w:r>
          </w:p>
          <w:p w:rsidR="00DD5B14" w:rsidRDefault="00DD5B14" w:rsidP="00E815A8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公司應於股東常會召開前之停止股票過戶日前，公告受理股東之提案、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書面或電子受理方式、</w:t>
            </w:r>
            <w:r>
              <w:rPr>
                <w:rFonts w:ascii="Times New Roman" w:eastAsia="標楷體" w:hAnsi="Times New Roman" w:cs="Times New Roman" w:hint="eastAsia"/>
              </w:rPr>
              <w:t>受理處所及受理期間；其受理期間不得少於十日。</w:t>
            </w:r>
          </w:p>
          <w:p w:rsidR="00DD5B14" w:rsidRDefault="00DD5B14" w:rsidP="00DD5B14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DD5B14" w:rsidRDefault="00DD5B14" w:rsidP="00DD5B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股東所提議案以三百字為限</w:t>
            </w:r>
            <w:r w:rsidR="00037708" w:rsidRPr="00037708">
              <w:rPr>
                <w:rFonts w:ascii="Times New Roman" w:eastAsia="標楷體" w:hAnsi="Times New Roman" w:cs="Times New Roman"/>
              </w:rPr>
              <w:t>，超過</w:t>
            </w:r>
            <w:proofErr w:type="gramStart"/>
            <w:r w:rsidR="00037708" w:rsidRPr="00037708">
              <w:rPr>
                <w:rFonts w:ascii="Times New Roman" w:eastAsia="標楷體" w:hAnsi="Times New Roman" w:cs="Times New Roman"/>
              </w:rPr>
              <w:t>三百字者</w:t>
            </w:r>
            <w:proofErr w:type="gramEnd"/>
            <w:r w:rsidR="00037708" w:rsidRPr="00037708">
              <w:rPr>
                <w:rFonts w:ascii="Times New Roman" w:eastAsia="標楷體" w:hAnsi="Times New Roman" w:cs="Times New Roman"/>
              </w:rPr>
              <w:t>，該提案不予列入議案</w:t>
            </w:r>
            <w:r>
              <w:rPr>
                <w:rFonts w:ascii="Times New Roman" w:eastAsia="標楷體" w:hAnsi="Times New Roman" w:cs="Times New Roman" w:hint="eastAsia"/>
              </w:rPr>
              <w:t>；提案股東應親自或委託他人出席股東常會，並參與該項議案討論。</w:t>
            </w:r>
          </w:p>
          <w:p w:rsidR="00030311" w:rsidRDefault="00030311" w:rsidP="00DD5B14">
            <w:pPr>
              <w:rPr>
                <w:rFonts w:ascii="Times New Roman" w:eastAsia="標楷體" w:hAnsi="Times New Roman" w:cs="Times New Roman"/>
              </w:rPr>
            </w:pPr>
          </w:p>
          <w:p w:rsidR="00030311" w:rsidRPr="0062194E" w:rsidRDefault="00030311" w:rsidP="00DD5B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30311">
              <w:rPr>
                <w:rFonts w:eastAsia="標楷體" w:hint="eastAsia"/>
              </w:rPr>
              <w:t>公司應於股東會召集通知日前，將處理結果通知提案股東，並將合於本條規定之議案列於開會通知。對於未列入議案之股東提案，董事會應於股東會說明未列入之理由。</w:t>
            </w:r>
          </w:p>
        </w:tc>
        <w:tc>
          <w:tcPr>
            <w:tcW w:w="2765" w:type="dxa"/>
          </w:tcPr>
          <w:p w:rsidR="0021422A" w:rsidRDefault="0021422A" w:rsidP="0021422A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lastRenderedPageBreak/>
              <w:t>第</w:t>
            </w:r>
            <w:r w:rsidR="00015050">
              <w:rPr>
                <w:rFonts w:eastAsia="標楷體" w:hint="eastAsia"/>
              </w:rPr>
              <w:t>三</w:t>
            </w:r>
            <w:r w:rsidRPr="0062194E">
              <w:rPr>
                <w:rFonts w:eastAsia="標楷體"/>
              </w:rPr>
              <w:t>條</w:t>
            </w:r>
          </w:p>
          <w:p w:rsidR="00015050" w:rsidRPr="0062194E" w:rsidRDefault="00DB4E89" w:rsidP="0021422A">
            <w:pPr>
              <w:rPr>
                <w:rFonts w:eastAsia="標楷體"/>
              </w:rPr>
            </w:pPr>
            <w:r w:rsidRPr="00DB4E89">
              <w:rPr>
                <w:rFonts w:eastAsia="標楷體" w:hint="eastAsia"/>
              </w:rPr>
              <w:t>第一、二、三項略</w:t>
            </w:r>
            <w:r>
              <w:rPr>
                <w:rFonts w:eastAsia="標楷體" w:hint="eastAsia"/>
              </w:rPr>
              <w:t>。</w:t>
            </w:r>
          </w:p>
          <w:p w:rsidR="00015050" w:rsidRDefault="0021422A" w:rsidP="00015050">
            <w:pPr>
              <w:rPr>
                <w:rFonts w:eastAsia="標楷體"/>
              </w:rPr>
            </w:pPr>
            <w:r w:rsidRPr="0062194E">
              <w:rPr>
                <w:rFonts w:eastAsia="標楷體"/>
              </w:rPr>
              <w:t xml:space="preserve">    </w:t>
            </w:r>
            <w:r w:rsidR="00015050" w:rsidRPr="00015050">
              <w:rPr>
                <w:rFonts w:eastAsia="標楷體" w:hint="eastAsia"/>
              </w:rPr>
              <w:t>選任或解任董事、監察人、變更章程、公司解散、合併、分割或公司法第一百八十五第一項各款、證券交易法第二十六條之一、第四十三條之六、發行人募集與發行有價證券處理準則第五十六條之</w:t>
            </w:r>
            <w:proofErr w:type="gramStart"/>
            <w:r w:rsidR="00015050" w:rsidRPr="00015050">
              <w:rPr>
                <w:rFonts w:eastAsia="標楷體" w:hint="eastAsia"/>
              </w:rPr>
              <w:t>一</w:t>
            </w:r>
            <w:proofErr w:type="gramEnd"/>
            <w:r w:rsidR="00015050" w:rsidRPr="00015050">
              <w:rPr>
                <w:rFonts w:eastAsia="標楷體" w:hint="eastAsia"/>
              </w:rPr>
              <w:t>及第六十條之二之事項應在召集事由中列舉，不得以臨時動議提出。</w:t>
            </w: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E815A8" w:rsidP="00E815A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持有已發行股份總數百分之一以上股份之股東，得</w:t>
            </w:r>
            <w:r>
              <w:rPr>
                <w:rFonts w:ascii="Times New Roman" w:eastAsia="標楷體" w:hAnsi="Times New Roman" w:cs="Times New Roman"/>
                <w:u w:val="single"/>
              </w:rPr>
              <w:t>以書面</w:t>
            </w:r>
            <w:r>
              <w:rPr>
                <w:rFonts w:ascii="Times New Roman" w:eastAsia="標楷體" w:hAnsi="Times New Roman" w:cs="Times New Roman"/>
              </w:rPr>
              <w:t>向公司提出股東常會議案</w:t>
            </w:r>
            <w:r w:rsidRPr="00ED0BE9">
              <w:rPr>
                <w:rFonts w:ascii="Times New Roman" w:eastAsia="標楷體" w:hAnsi="Times New Roman" w:cs="Times New Roman"/>
                <w:u w:val="single"/>
              </w:rPr>
              <w:t>。但</w:t>
            </w:r>
            <w:r>
              <w:rPr>
                <w:rFonts w:ascii="Times New Roman" w:eastAsia="標楷體" w:hAnsi="Times New Roman" w:cs="Times New Roman"/>
              </w:rPr>
              <w:t>以一項為限，提案超過</w:t>
            </w:r>
            <w:proofErr w:type="gramStart"/>
            <w:r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</w:rPr>
              <w:t>項者，</w:t>
            </w:r>
            <w:proofErr w:type="gramStart"/>
            <w:r>
              <w:rPr>
                <w:rFonts w:ascii="Times New Roman" w:eastAsia="標楷體" w:hAnsi="Times New Roman" w:cs="Times New Roman"/>
              </w:rPr>
              <w:t>均不列入</w:t>
            </w:r>
            <w:proofErr w:type="gramEnd"/>
            <w:r>
              <w:rPr>
                <w:rFonts w:ascii="Times New Roman" w:eastAsia="標楷體" w:hAnsi="Times New Roman" w:cs="Times New Roman"/>
              </w:rPr>
              <w:t>議案。</w:t>
            </w:r>
            <w:r w:rsidRPr="00E815A8">
              <w:rPr>
                <w:rFonts w:ascii="Times New Roman" w:eastAsia="標楷體" w:hAnsi="Times New Roman" w:cs="Times New Roman" w:hint="eastAsia"/>
              </w:rPr>
              <w:t>另股東所提議案有公司法第</w:t>
            </w:r>
            <w:r w:rsidRPr="00E815A8">
              <w:rPr>
                <w:rFonts w:ascii="Times New Roman" w:eastAsia="標楷體" w:hAnsi="Times New Roman" w:cs="Times New Roman" w:hint="eastAsia"/>
              </w:rPr>
              <w:t xml:space="preserve"> 172</w:t>
            </w:r>
            <w:r w:rsidRPr="00E815A8">
              <w:rPr>
                <w:rFonts w:ascii="Times New Roman" w:eastAsia="標楷體" w:hAnsi="Times New Roman" w:cs="Times New Roman" w:hint="eastAsia"/>
              </w:rPr>
              <w:t>條之</w:t>
            </w:r>
            <w:r w:rsidRPr="00E815A8">
              <w:rPr>
                <w:rFonts w:ascii="Times New Roman" w:eastAsia="標楷體" w:hAnsi="Times New Roman" w:cs="Times New Roman" w:hint="eastAsia"/>
              </w:rPr>
              <w:t>1</w:t>
            </w:r>
            <w:r w:rsidRPr="00E815A8">
              <w:rPr>
                <w:rFonts w:ascii="Times New Roman" w:eastAsia="標楷體" w:hAnsi="Times New Roman" w:cs="Times New Roman" w:hint="eastAsia"/>
              </w:rPr>
              <w:t>第</w:t>
            </w:r>
            <w:r w:rsidRPr="00E815A8">
              <w:rPr>
                <w:rFonts w:ascii="Times New Roman" w:eastAsia="標楷體" w:hAnsi="Times New Roman" w:cs="Times New Roman" w:hint="eastAsia"/>
              </w:rPr>
              <w:t>4</w:t>
            </w:r>
            <w:r w:rsidRPr="00E815A8">
              <w:rPr>
                <w:rFonts w:ascii="Times New Roman" w:eastAsia="標楷體" w:hAnsi="Times New Roman" w:cs="Times New Roman" w:hint="eastAsia"/>
              </w:rPr>
              <w:t>項各款情形之一，董事會得不列為議案。</w:t>
            </w:r>
          </w:p>
          <w:p w:rsidR="00DD5B14" w:rsidRDefault="00DD5B14" w:rsidP="00E815A8">
            <w:pPr>
              <w:rPr>
                <w:rFonts w:ascii="Times New Roman" w:eastAsia="標楷體" w:hAnsi="Times New Roman" w:cs="Times New Roman"/>
              </w:rPr>
            </w:pPr>
          </w:p>
          <w:p w:rsidR="00030311" w:rsidRDefault="00E815A8" w:rsidP="00E815A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 xml:space="preserve">    </w:t>
            </w:r>
          </w:p>
          <w:p w:rsidR="00030311" w:rsidRDefault="00030311" w:rsidP="00E815A8">
            <w:pPr>
              <w:rPr>
                <w:rFonts w:ascii="Times New Roman" w:eastAsia="標楷體" w:hAnsi="Times New Roman" w:cs="Times New Roman"/>
              </w:rPr>
            </w:pPr>
          </w:p>
          <w:p w:rsidR="00030311" w:rsidRDefault="00030311" w:rsidP="00E815A8">
            <w:pPr>
              <w:rPr>
                <w:rFonts w:ascii="Times New Roman" w:eastAsia="標楷體" w:hAnsi="Times New Roman" w:cs="Times New Roman"/>
              </w:rPr>
            </w:pPr>
          </w:p>
          <w:p w:rsidR="00030311" w:rsidRDefault="00030311" w:rsidP="00E815A8">
            <w:pPr>
              <w:rPr>
                <w:rFonts w:ascii="Times New Roman" w:eastAsia="標楷體" w:hAnsi="Times New Roman" w:cs="Times New Roman"/>
              </w:rPr>
            </w:pPr>
          </w:p>
          <w:p w:rsidR="00E815A8" w:rsidRDefault="00030311" w:rsidP="00E815A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E815A8">
              <w:rPr>
                <w:rFonts w:ascii="Times New Roman" w:eastAsia="標楷體" w:hAnsi="Times New Roman" w:cs="Times New Roman"/>
              </w:rPr>
              <w:t>公司應於股東常會召開前之停止股票過戶日前，公告受理股東之提案、受理處所及受理期間；其受理期間不得少於十日。</w:t>
            </w:r>
          </w:p>
          <w:p w:rsidR="00DD5B14" w:rsidRDefault="00DD5B14" w:rsidP="00E815A8">
            <w:pPr>
              <w:rPr>
                <w:rFonts w:ascii="Times New Roman" w:eastAsia="標楷體" w:hAnsi="Times New Roman" w:cs="Times New Roman"/>
              </w:rPr>
            </w:pPr>
          </w:p>
          <w:p w:rsidR="00DD5B14" w:rsidRDefault="00DD5B14" w:rsidP="00E815A8">
            <w:pPr>
              <w:rPr>
                <w:rFonts w:ascii="Times New Roman" w:eastAsia="標楷體" w:hAnsi="Times New Roman" w:cs="Times New Roman"/>
              </w:rPr>
            </w:pPr>
          </w:p>
          <w:p w:rsidR="00015050" w:rsidRDefault="00DD5B14" w:rsidP="00E815A8">
            <w:pPr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E815A8">
              <w:rPr>
                <w:rFonts w:ascii="Times New Roman" w:eastAsia="標楷體" w:hAnsi="Times New Roman" w:cs="Times New Roman"/>
              </w:rPr>
              <w:t>股東所提議案以三百字為限</w:t>
            </w:r>
            <w:r w:rsidR="00E815A8" w:rsidRPr="00037708">
              <w:rPr>
                <w:rFonts w:ascii="Times New Roman" w:eastAsia="標楷體" w:hAnsi="Times New Roman" w:cs="Times New Roman"/>
              </w:rPr>
              <w:t>，超過</w:t>
            </w:r>
            <w:proofErr w:type="gramStart"/>
            <w:r w:rsidR="00E815A8" w:rsidRPr="00037708">
              <w:rPr>
                <w:rFonts w:ascii="Times New Roman" w:eastAsia="標楷體" w:hAnsi="Times New Roman" w:cs="Times New Roman"/>
              </w:rPr>
              <w:t>三百字者</w:t>
            </w:r>
            <w:proofErr w:type="gramEnd"/>
            <w:r w:rsidR="00E815A8" w:rsidRPr="00037708">
              <w:rPr>
                <w:rFonts w:ascii="Times New Roman" w:eastAsia="標楷體" w:hAnsi="Times New Roman" w:cs="Times New Roman"/>
              </w:rPr>
              <w:t>，該提案不予列入議案</w:t>
            </w:r>
            <w:r w:rsidR="00E815A8">
              <w:rPr>
                <w:rFonts w:ascii="Times New Roman" w:eastAsia="標楷體" w:hAnsi="Times New Roman" w:cs="Times New Roman"/>
              </w:rPr>
              <w:t>；提案股東應親自或委託他人出席股東常會，並參與該項議案討論。</w:t>
            </w:r>
          </w:p>
          <w:p w:rsidR="00015050" w:rsidRDefault="00015050" w:rsidP="0021422A">
            <w:pPr>
              <w:rPr>
                <w:rFonts w:eastAsia="標楷體"/>
              </w:rPr>
            </w:pPr>
          </w:p>
          <w:p w:rsidR="00015050" w:rsidRDefault="00030311" w:rsidP="002142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30311">
              <w:rPr>
                <w:rFonts w:eastAsia="標楷體" w:hint="eastAsia"/>
              </w:rPr>
              <w:t>公司應於股東會召集通知日前，將處理結果通知提案股東，並將合於本條規定之議案列於開會通知。對於未列入議案之股東提案，董事會應於股東會說明未列入之理由。</w:t>
            </w:r>
          </w:p>
          <w:p w:rsidR="0021422A" w:rsidRPr="0062194E" w:rsidRDefault="0021422A" w:rsidP="0021422A">
            <w:pPr>
              <w:rPr>
                <w:rFonts w:eastAsia="標楷體"/>
              </w:rPr>
            </w:pPr>
          </w:p>
        </w:tc>
        <w:tc>
          <w:tcPr>
            <w:tcW w:w="2766" w:type="dxa"/>
          </w:tcPr>
          <w:p w:rsidR="004F161E" w:rsidRDefault="004F161E" w:rsidP="000B7682">
            <w:pPr>
              <w:rPr>
                <w:rFonts w:eastAsia="標楷體"/>
              </w:rPr>
            </w:pPr>
          </w:p>
          <w:p w:rsidR="00DD5B14" w:rsidRDefault="00015050" w:rsidP="000B768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配合公司</w:t>
            </w:r>
            <w:r w:rsidR="0004337D">
              <w:rPr>
                <w:rFonts w:eastAsia="標楷體" w:hint="eastAsia"/>
              </w:rPr>
              <w:t>法</w:t>
            </w:r>
            <w:r w:rsidR="00DF4275" w:rsidRPr="00DF4275">
              <w:rPr>
                <w:rFonts w:eastAsia="標楷體" w:hint="eastAsia"/>
              </w:rPr>
              <w:t>第一百七十二條第五項修正</w:t>
            </w:r>
            <w:r w:rsidR="00DF4275">
              <w:rPr>
                <w:rFonts w:eastAsia="標楷體" w:hint="eastAsia"/>
              </w:rPr>
              <w:t>，</w:t>
            </w:r>
            <w:r w:rsidR="004F07F1">
              <w:rPr>
                <w:rFonts w:eastAsia="標楷體" w:hint="eastAsia"/>
              </w:rPr>
              <w:t>修正</w:t>
            </w:r>
            <w:r w:rsidR="00DF4275">
              <w:rPr>
                <w:rFonts w:eastAsia="標楷體" w:hint="eastAsia"/>
              </w:rPr>
              <w:t>第四項。</w:t>
            </w: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DD5B14" w:rsidRDefault="00DD5B14" w:rsidP="000B7682">
            <w:pPr>
              <w:rPr>
                <w:rFonts w:eastAsia="標楷體"/>
              </w:rPr>
            </w:pPr>
          </w:p>
          <w:p w:rsidR="00435004" w:rsidRDefault="00435004" w:rsidP="000B7682">
            <w:pPr>
              <w:rPr>
                <w:rFonts w:eastAsia="標楷體"/>
              </w:rPr>
            </w:pPr>
          </w:p>
          <w:p w:rsidR="00037708" w:rsidRPr="00037708" w:rsidRDefault="00037708" w:rsidP="000B7682">
            <w:pPr>
              <w:rPr>
                <w:rFonts w:eastAsia="標楷體"/>
              </w:rPr>
            </w:pPr>
          </w:p>
          <w:p w:rsidR="00015050" w:rsidRDefault="00DF4275" w:rsidP="000B768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配合</w:t>
            </w:r>
            <w:r w:rsidR="00E00931">
              <w:rPr>
                <w:rFonts w:eastAsia="標楷體" w:hint="eastAsia"/>
              </w:rPr>
              <w:t>107</w:t>
            </w:r>
            <w:r w:rsidR="00E00931">
              <w:rPr>
                <w:rFonts w:eastAsia="標楷體" w:hint="eastAsia"/>
              </w:rPr>
              <w:t>年</w:t>
            </w:r>
            <w:r w:rsidRPr="00DF4275">
              <w:rPr>
                <w:rFonts w:eastAsia="標楷體" w:hint="eastAsia"/>
              </w:rPr>
              <w:t>8</w:t>
            </w:r>
            <w:r w:rsidR="00E00931">
              <w:rPr>
                <w:rFonts w:eastAsia="標楷體" w:hint="eastAsia"/>
              </w:rPr>
              <w:t>月</w:t>
            </w:r>
            <w:r w:rsidRPr="00DF4275">
              <w:rPr>
                <w:rFonts w:eastAsia="標楷體" w:hint="eastAsia"/>
              </w:rPr>
              <w:t>6</w:t>
            </w:r>
            <w:r w:rsidR="00E00931">
              <w:rPr>
                <w:rFonts w:eastAsia="標楷體" w:hint="eastAsia"/>
              </w:rPr>
              <w:t>日</w:t>
            </w:r>
            <w:r w:rsidRPr="00DF4275">
              <w:rPr>
                <w:rFonts w:eastAsia="標楷體" w:hint="eastAsia"/>
              </w:rPr>
              <w:t>經商字第</w:t>
            </w:r>
            <w:r w:rsidRPr="00DF4275">
              <w:rPr>
                <w:rFonts w:eastAsia="標楷體" w:hint="eastAsia"/>
              </w:rPr>
              <w:t>10702417500</w:t>
            </w:r>
            <w:r w:rsidRPr="00DF4275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函，增訂</w:t>
            </w:r>
            <w:r w:rsidR="00E00931">
              <w:rPr>
                <w:rFonts w:eastAsia="標楷體" w:hint="eastAsia"/>
              </w:rPr>
              <w:t>本條</w:t>
            </w:r>
            <w:r>
              <w:rPr>
                <w:rFonts w:eastAsia="標楷體" w:hint="eastAsia"/>
              </w:rPr>
              <w:t>第五項。</w:t>
            </w:r>
          </w:p>
          <w:p w:rsidR="00015050" w:rsidRDefault="00015050" w:rsidP="000B7682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2873C0" w:rsidRDefault="00DD5B14" w:rsidP="00DD5B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  <w:r w:rsidR="004F07F1">
              <w:rPr>
                <w:rFonts w:eastAsia="標楷體" w:hint="eastAsia"/>
              </w:rPr>
              <w:t>修正</w:t>
            </w:r>
            <w:r>
              <w:rPr>
                <w:rFonts w:eastAsia="標楷體" w:hint="eastAsia"/>
              </w:rPr>
              <w:t>為第六項，並</w:t>
            </w:r>
            <w:r w:rsidRPr="00DD5B14">
              <w:rPr>
                <w:rFonts w:eastAsia="標楷體" w:hint="eastAsia"/>
              </w:rPr>
              <w:t>配合</w:t>
            </w:r>
            <w:r>
              <w:rPr>
                <w:rFonts w:eastAsia="標楷體" w:hint="eastAsia"/>
              </w:rPr>
              <w:t>新修正</w:t>
            </w:r>
            <w:r w:rsidRPr="00DD5B14">
              <w:rPr>
                <w:rFonts w:eastAsia="標楷體" w:hint="eastAsia"/>
              </w:rPr>
              <w:t>公司</w:t>
            </w:r>
            <w:r w:rsidR="0004337D">
              <w:rPr>
                <w:rFonts w:eastAsia="標楷體" w:hint="eastAsia"/>
              </w:rPr>
              <w:t>法</w:t>
            </w:r>
            <w:r w:rsidRPr="00DD5B14">
              <w:rPr>
                <w:rFonts w:eastAsia="標楷體" w:hint="eastAsia"/>
              </w:rPr>
              <w:t>第一百七十二條</w:t>
            </w:r>
            <w:r>
              <w:rPr>
                <w:rFonts w:eastAsia="標楷體" w:hint="eastAsia"/>
              </w:rPr>
              <w:t>之一</w:t>
            </w:r>
            <w:r w:rsidRPr="00DD5B14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一</w:t>
            </w:r>
            <w:r w:rsidRPr="00DD5B14">
              <w:rPr>
                <w:rFonts w:eastAsia="標楷體" w:hint="eastAsia"/>
              </w:rPr>
              <w:t>項</w:t>
            </w:r>
            <w:r w:rsidR="00030311">
              <w:rPr>
                <w:rFonts w:eastAsia="標楷體" w:hint="eastAsia"/>
              </w:rPr>
              <w:t>及增訂第五項，</w:t>
            </w:r>
            <w:r w:rsidR="004F07F1">
              <w:rPr>
                <w:rFonts w:eastAsia="標楷體" w:hint="eastAsia"/>
              </w:rPr>
              <w:t>修正</w:t>
            </w:r>
            <w:r>
              <w:rPr>
                <w:rFonts w:eastAsia="標楷體" w:hint="eastAsia"/>
              </w:rPr>
              <w:t>相關文字。</w:t>
            </w:r>
          </w:p>
          <w:p w:rsidR="00DD5B14" w:rsidRPr="00DD5B14" w:rsidRDefault="00DD5B14" w:rsidP="00DD5B14">
            <w:pPr>
              <w:rPr>
                <w:rFonts w:eastAsia="標楷體"/>
              </w:rPr>
            </w:pPr>
          </w:p>
          <w:p w:rsidR="00136BF2" w:rsidRDefault="00136BF2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  <w:r w:rsidRPr="00DD5B14">
              <w:rPr>
                <w:rFonts w:eastAsia="標楷體" w:hint="eastAsia"/>
              </w:rPr>
              <w:t>項次</w:t>
            </w:r>
            <w:r w:rsidR="004F07F1">
              <w:rPr>
                <w:rFonts w:eastAsia="標楷體" w:hint="eastAsia"/>
              </w:rPr>
              <w:t>修正</w:t>
            </w:r>
            <w:r w:rsidRPr="00DD5B14">
              <w:rPr>
                <w:rFonts w:eastAsia="標楷體" w:hint="eastAsia"/>
              </w:rPr>
              <w:t>為第</w:t>
            </w:r>
            <w:r>
              <w:rPr>
                <w:rFonts w:eastAsia="標楷體" w:hint="eastAsia"/>
              </w:rPr>
              <w:t>七</w:t>
            </w:r>
            <w:r w:rsidRPr="00DD5B14">
              <w:rPr>
                <w:rFonts w:eastAsia="標楷體" w:hint="eastAsia"/>
              </w:rPr>
              <w:t>項，並配合公司</w:t>
            </w:r>
            <w:r w:rsidR="004F07F1">
              <w:rPr>
                <w:rFonts w:eastAsia="標楷體" w:hint="eastAsia"/>
              </w:rPr>
              <w:t>法</w:t>
            </w:r>
            <w:r w:rsidRPr="00DD5B14">
              <w:rPr>
                <w:rFonts w:eastAsia="標楷體" w:hint="eastAsia"/>
              </w:rPr>
              <w:t>第一百七十二條之一第</w:t>
            </w:r>
            <w:r w:rsidR="00030311">
              <w:rPr>
                <w:rFonts w:eastAsia="標楷體" w:hint="eastAsia"/>
              </w:rPr>
              <w:t>二</w:t>
            </w:r>
            <w:r w:rsidRPr="00DD5B14">
              <w:rPr>
                <w:rFonts w:eastAsia="標楷體" w:hint="eastAsia"/>
              </w:rPr>
              <w:t>項修正。</w:t>
            </w: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</w:p>
          <w:p w:rsidR="00DD5B14" w:rsidRDefault="00DD5B14" w:rsidP="00DD5B14">
            <w:pPr>
              <w:rPr>
                <w:rFonts w:eastAsia="標楷體"/>
              </w:rPr>
            </w:pPr>
            <w:r w:rsidRPr="00DD5B14">
              <w:rPr>
                <w:rFonts w:eastAsia="標楷體" w:hint="eastAsia"/>
              </w:rPr>
              <w:t>項次</w:t>
            </w:r>
            <w:r w:rsidR="004F07F1">
              <w:rPr>
                <w:rFonts w:eastAsia="標楷體" w:hint="eastAsia"/>
              </w:rPr>
              <w:t>修正</w:t>
            </w:r>
            <w:r w:rsidRPr="00DD5B14">
              <w:rPr>
                <w:rFonts w:eastAsia="標楷體" w:hint="eastAsia"/>
              </w:rPr>
              <w:t>為第</w:t>
            </w:r>
            <w:r>
              <w:rPr>
                <w:rFonts w:eastAsia="標楷體" w:hint="eastAsia"/>
              </w:rPr>
              <w:t>八</w:t>
            </w:r>
            <w:r w:rsidRPr="00DD5B14">
              <w:rPr>
                <w:rFonts w:eastAsia="標楷體" w:hint="eastAsia"/>
              </w:rPr>
              <w:t>項。</w:t>
            </w: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C124EF" w:rsidRDefault="00C124EF" w:rsidP="00DD5B14">
            <w:pPr>
              <w:rPr>
                <w:rFonts w:eastAsia="標楷體"/>
              </w:rPr>
            </w:pPr>
          </w:p>
          <w:p w:rsidR="00C124EF" w:rsidRDefault="00C124EF" w:rsidP="00DD5B14">
            <w:pPr>
              <w:rPr>
                <w:rFonts w:eastAsia="標楷體"/>
              </w:rPr>
            </w:pPr>
          </w:p>
          <w:p w:rsidR="00030311" w:rsidRDefault="00030311" w:rsidP="00DD5B14">
            <w:pPr>
              <w:rPr>
                <w:rFonts w:eastAsia="標楷體"/>
              </w:rPr>
            </w:pPr>
          </w:p>
          <w:p w:rsidR="00030311" w:rsidRPr="00DD5B14" w:rsidRDefault="00030311" w:rsidP="00DD5B14">
            <w:pPr>
              <w:rPr>
                <w:rFonts w:eastAsia="標楷體"/>
              </w:rPr>
            </w:pPr>
            <w:r w:rsidRPr="00030311">
              <w:rPr>
                <w:rFonts w:eastAsia="標楷體" w:hint="eastAsia"/>
              </w:rPr>
              <w:t>項次</w:t>
            </w:r>
            <w:r w:rsidR="004F07F1">
              <w:rPr>
                <w:rFonts w:eastAsia="標楷體" w:hint="eastAsia"/>
              </w:rPr>
              <w:t>修正</w:t>
            </w:r>
            <w:r w:rsidRPr="00030311">
              <w:rPr>
                <w:rFonts w:eastAsia="標楷體" w:hint="eastAsia"/>
              </w:rPr>
              <w:t>為第</w:t>
            </w:r>
            <w:r>
              <w:rPr>
                <w:rFonts w:eastAsia="標楷體" w:hint="eastAsia"/>
              </w:rPr>
              <w:t>九</w:t>
            </w:r>
            <w:r w:rsidRPr="00030311">
              <w:rPr>
                <w:rFonts w:eastAsia="標楷體" w:hint="eastAsia"/>
              </w:rPr>
              <w:t>項</w:t>
            </w:r>
            <w:r>
              <w:rPr>
                <w:rFonts w:eastAsia="標楷體" w:hint="eastAsia"/>
              </w:rPr>
              <w:t>。</w:t>
            </w:r>
          </w:p>
        </w:tc>
      </w:tr>
      <w:tr w:rsidR="00C2573E" w:rsidRPr="00136BF2" w:rsidTr="00475A90">
        <w:tc>
          <w:tcPr>
            <w:tcW w:w="2765" w:type="dxa"/>
          </w:tcPr>
          <w:p w:rsidR="00C2573E" w:rsidRDefault="00C2573E" w:rsidP="00C2573E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lastRenderedPageBreak/>
              <w:t>第十條</w:t>
            </w:r>
          </w:p>
          <w:p w:rsidR="00E3063F" w:rsidRDefault="00C01F0C" w:rsidP="00E3063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E3063F" w:rsidRPr="00E3063F">
              <w:rPr>
                <w:rFonts w:eastAsia="標楷體" w:hint="eastAsia"/>
              </w:rPr>
              <w:t>股東會如由董事會召集者，其議程由董事會訂定之，</w:t>
            </w:r>
            <w:r w:rsidR="00E3063F" w:rsidRPr="00E3063F">
              <w:rPr>
                <w:rFonts w:eastAsia="標楷體" w:hint="eastAsia"/>
                <w:u w:val="single"/>
              </w:rPr>
              <w:t>相關議案</w:t>
            </w:r>
            <w:r w:rsidR="00E3063F" w:rsidRPr="00E3063F">
              <w:rPr>
                <w:rFonts w:eastAsia="標楷體" w:hint="eastAsia"/>
                <w:u w:val="single"/>
              </w:rPr>
              <w:t>(</w:t>
            </w:r>
            <w:r w:rsidR="00E3063F" w:rsidRPr="00E3063F">
              <w:rPr>
                <w:rFonts w:eastAsia="標楷體" w:hint="eastAsia"/>
                <w:u w:val="single"/>
              </w:rPr>
              <w:t>包括臨時動議及原議案修正</w:t>
            </w:r>
            <w:r w:rsidR="00E3063F" w:rsidRPr="00E3063F">
              <w:rPr>
                <w:rFonts w:eastAsia="標楷體" w:hint="eastAsia"/>
                <w:u w:val="single"/>
              </w:rPr>
              <w:t>)</w:t>
            </w:r>
            <w:r w:rsidR="00E3063F" w:rsidRPr="00E3063F">
              <w:rPr>
                <w:rFonts w:eastAsia="標楷體" w:hint="eastAsia"/>
                <w:u w:val="single"/>
              </w:rPr>
              <w:t>均應</w:t>
            </w:r>
            <w:proofErr w:type="gramStart"/>
            <w:r w:rsidR="00E3063F" w:rsidRPr="00E3063F">
              <w:rPr>
                <w:rFonts w:eastAsia="標楷體" w:hint="eastAsia"/>
                <w:u w:val="single"/>
              </w:rPr>
              <w:t>採</w:t>
            </w:r>
            <w:proofErr w:type="gramEnd"/>
            <w:r w:rsidR="00E3063F" w:rsidRPr="00E3063F">
              <w:rPr>
                <w:rFonts w:eastAsia="標楷體" w:hint="eastAsia"/>
                <w:u w:val="single"/>
              </w:rPr>
              <w:t>逐案票決</w:t>
            </w:r>
            <w:r w:rsidR="00E3063F">
              <w:rPr>
                <w:rFonts w:eastAsia="標楷體" w:hint="eastAsia"/>
              </w:rPr>
              <w:t>，</w:t>
            </w:r>
            <w:r w:rsidR="00E3063F" w:rsidRPr="00E3063F">
              <w:rPr>
                <w:rFonts w:eastAsia="標楷體" w:hint="eastAsia"/>
              </w:rPr>
              <w:t>會議應依排定之議程進行，非經股東會決議不得變更之。</w:t>
            </w:r>
          </w:p>
          <w:p w:rsidR="00E3063F" w:rsidRPr="00C2573E" w:rsidRDefault="00E3063F" w:rsidP="00C2573E">
            <w:pPr>
              <w:rPr>
                <w:rFonts w:eastAsia="標楷體"/>
              </w:rPr>
            </w:pPr>
          </w:p>
          <w:p w:rsidR="00C2573E" w:rsidRDefault="00C2573E" w:rsidP="00C2573E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</w:t>
            </w:r>
            <w:r w:rsidR="00E3063F">
              <w:rPr>
                <w:rFonts w:eastAsia="標楷體" w:hint="eastAsia"/>
              </w:rPr>
              <w:t>二</w:t>
            </w:r>
            <w:r w:rsidRPr="00C2573E">
              <w:rPr>
                <w:rFonts w:eastAsia="標楷體" w:hint="eastAsia"/>
              </w:rPr>
              <w:t>至三項略。</w:t>
            </w:r>
          </w:p>
          <w:p w:rsidR="00E3063F" w:rsidRDefault="00E3063F" w:rsidP="00C2573E">
            <w:pPr>
              <w:rPr>
                <w:rFonts w:eastAsia="標楷體"/>
              </w:rPr>
            </w:pPr>
          </w:p>
          <w:p w:rsidR="00C2573E" w:rsidRPr="00BA1D1B" w:rsidRDefault="00C01F0C" w:rsidP="00C2573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C2573E" w:rsidRPr="00C2573E">
              <w:rPr>
                <w:rFonts w:eastAsia="標楷體" w:hint="eastAsia"/>
              </w:rPr>
              <w:t>主席對於議案及股東所提之修正案或臨時動議，應給予充分說明及討論之機會，認為已達可付表決之程度時，得宣布停止討論，提付表決</w:t>
            </w:r>
            <w:r w:rsidR="00C2573E">
              <w:rPr>
                <w:rFonts w:eastAsia="標楷體" w:hint="eastAsia"/>
              </w:rPr>
              <w:t>，</w:t>
            </w:r>
            <w:r w:rsidR="00C2573E" w:rsidRPr="00C2573E">
              <w:rPr>
                <w:rFonts w:eastAsia="標楷體" w:hint="eastAsia"/>
                <w:u w:val="single"/>
              </w:rPr>
              <w:t>並安排</w:t>
            </w:r>
            <w:r w:rsidR="00C2573E">
              <w:rPr>
                <w:rFonts w:eastAsia="標楷體" w:hint="eastAsia"/>
                <w:u w:val="single"/>
              </w:rPr>
              <w:t>適足</w:t>
            </w:r>
            <w:r w:rsidR="00C2573E" w:rsidRPr="00C2573E">
              <w:rPr>
                <w:rFonts w:eastAsia="標楷體" w:hint="eastAsia"/>
                <w:u w:val="single"/>
              </w:rPr>
              <w:t>之投票時間</w:t>
            </w:r>
            <w:r w:rsidR="00C2573E" w:rsidRPr="00C2573E">
              <w:rPr>
                <w:rFonts w:eastAsia="標楷體" w:hint="eastAsia"/>
              </w:rPr>
              <w:t>。</w:t>
            </w:r>
          </w:p>
        </w:tc>
        <w:tc>
          <w:tcPr>
            <w:tcW w:w="2765" w:type="dxa"/>
          </w:tcPr>
          <w:p w:rsidR="00C2573E" w:rsidRPr="00C2573E" w:rsidRDefault="00C2573E" w:rsidP="00C2573E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lastRenderedPageBreak/>
              <w:t>第十條</w:t>
            </w:r>
          </w:p>
          <w:p w:rsidR="00E3063F" w:rsidRDefault="00C01F0C" w:rsidP="00E3063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E3063F" w:rsidRPr="00E3063F">
              <w:rPr>
                <w:rFonts w:eastAsia="標楷體" w:hint="eastAsia"/>
              </w:rPr>
              <w:t>股東會如由董事會召集者，其議程由董事會訂定之，會議應依排定之議程進行，非經股東會決議不得變更之。</w:t>
            </w:r>
          </w:p>
          <w:p w:rsidR="00E3063F" w:rsidRDefault="00E3063F" w:rsidP="00E3063F">
            <w:pPr>
              <w:rPr>
                <w:rFonts w:eastAsia="標楷體"/>
              </w:rPr>
            </w:pPr>
          </w:p>
          <w:p w:rsidR="00C2573E" w:rsidRDefault="00C2573E" w:rsidP="00C2573E">
            <w:pPr>
              <w:rPr>
                <w:rFonts w:eastAsia="標楷體"/>
              </w:rPr>
            </w:pPr>
          </w:p>
          <w:p w:rsidR="00E3063F" w:rsidRDefault="00E3063F" w:rsidP="00C2573E">
            <w:pPr>
              <w:rPr>
                <w:rFonts w:eastAsia="標楷體"/>
              </w:rPr>
            </w:pPr>
          </w:p>
          <w:p w:rsidR="00E3063F" w:rsidRDefault="00E3063F" w:rsidP="00C2573E">
            <w:pPr>
              <w:rPr>
                <w:rFonts w:eastAsia="標楷體"/>
              </w:rPr>
            </w:pPr>
          </w:p>
          <w:p w:rsidR="00E3063F" w:rsidRDefault="00C01F0C" w:rsidP="00C2573E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 w:rsidRPr="00C2573E">
              <w:rPr>
                <w:rFonts w:eastAsia="標楷體" w:hint="eastAsia"/>
              </w:rPr>
              <w:t>至三項略。</w:t>
            </w:r>
          </w:p>
          <w:p w:rsidR="00E3063F" w:rsidRPr="00C2573E" w:rsidRDefault="00E3063F" w:rsidP="00C2573E">
            <w:pPr>
              <w:rPr>
                <w:rFonts w:eastAsia="標楷體"/>
              </w:rPr>
            </w:pPr>
          </w:p>
          <w:p w:rsidR="00C2573E" w:rsidRPr="00C2573E" w:rsidRDefault="00C01F0C" w:rsidP="00C2573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C2573E" w:rsidRPr="00C2573E">
              <w:rPr>
                <w:rFonts w:eastAsia="標楷體" w:hint="eastAsia"/>
              </w:rPr>
              <w:t>主席對於議案及股東所提之修正案或臨時動議，應給予充分說明及討論之機會，認為已達可付表決之程度時，得宣布停止討論，提付表決。</w:t>
            </w:r>
          </w:p>
        </w:tc>
        <w:tc>
          <w:tcPr>
            <w:tcW w:w="2766" w:type="dxa"/>
          </w:tcPr>
          <w:p w:rsidR="00E3063F" w:rsidRDefault="00E3063F" w:rsidP="00BA1D1B">
            <w:pPr>
              <w:rPr>
                <w:rFonts w:eastAsia="標楷體"/>
              </w:rPr>
            </w:pPr>
            <w:r w:rsidRPr="00E3063F">
              <w:rPr>
                <w:rFonts w:eastAsia="標楷體" w:hint="eastAsia"/>
              </w:rPr>
              <w:lastRenderedPageBreak/>
              <w:t>配合</w:t>
            </w:r>
            <w:r w:rsidRPr="00E3063F">
              <w:rPr>
                <w:rFonts w:eastAsia="標楷體" w:hint="eastAsia"/>
              </w:rPr>
              <w:t>107</w:t>
            </w:r>
            <w:r w:rsidRPr="00E3063F">
              <w:rPr>
                <w:rFonts w:eastAsia="標楷體" w:hint="eastAsia"/>
              </w:rPr>
              <w:t>年起上市上櫃公司全面</w:t>
            </w:r>
            <w:proofErr w:type="gramStart"/>
            <w:r w:rsidRPr="00E3063F">
              <w:rPr>
                <w:rFonts w:eastAsia="標楷體" w:hint="eastAsia"/>
              </w:rPr>
              <w:t>採</w:t>
            </w:r>
            <w:proofErr w:type="gramEnd"/>
            <w:r w:rsidRPr="00E3063F">
              <w:rPr>
                <w:rFonts w:eastAsia="標楷體" w:hint="eastAsia"/>
              </w:rPr>
              <w:t>行電子投票，</w:t>
            </w:r>
            <w:r>
              <w:rPr>
                <w:rFonts w:eastAsia="標楷體" w:hint="eastAsia"/>
              </w:rPr>
              <w:t>並</w:t>
            </w:r>
            <w:r w:rsidRPr="00E3063F">
              <w:rPr>
                <w:rFonts w:eastAsia="標楷體" w:hint="eastAsia"/>
              </w:rPr>
              <w:t>落實逐案票決精神，修正第</w:t>
            </w:r>
            <w:r>
              <w:rPr>
                <w:rFonts w:eastAsia="標楷體" w:hint="eastAsia"/>
              </w:rPr>
              <w:t>一</w:t>
            </w:r>
            <w:r w:rsidRPr="00E3063F">
              <w:rPr>
                <w:rFonts w:eastAsia="標楷體" w:hint="eastAsia"/>
              </w:rPr>
              <w:t>項。</w:t>
            </w:r>
          </w:p>
          <w:p w:rsidR="00E3063F" w:rsidRDefault="00E3063F" w:rsidP="00BA1D1B">
            <w:pPr>
              <w:rPr>
                <w:rFonts w:eastAsia="標楷體"/>
              </w:rPr>
            </w:pPr>
          </w:p>
          <w:p w:rsidR="00E3063F" w:rsidRDefault="00E3063F" w:rsidP="00BA1D1B">
            <w:pPr>
              <w:rPr>
                <w:rFonts w:eastAsia="標楷體"/>
              </w:rPr>
            </w:pPr>
          </w:p>
          <w:p w:rsidR="00E3063F" w:rsidRDefault="00E3063F" w:rsidP="00BA1D1B">
            <w:pPr>
              <w:rPr>
                <w:rFonts w:eastAsia="標楷體"/>
              </w:rPr>
            </w:pPr>
          </w:p>
          <w:p w:rsidR="00E3063F" w:rsidRDefault="00E3063F" w:rsidP="00BA1D1B">
            <w:pPr>
              <w:rPr>
                <w:rFonts w:eastAsia="標楷體"/>
              </w:rPr>
            </w:pPr>
          </w:p>
          <w:p w:rsidR="00E3063F" w:rsidRDefault="00E3063F" w:rsidP="00BA1D1B">
            <w:pPr>
              <w:rPr>
                <w:rFonts w:eastAsia="標楷體"/>
              </w:rPr>
            </w:pPr>
          </w:p>
          <w:p w:rsidR="00E3063F" w:rsidRDefault="00E3063F" w:rsidP="00BA1D1B">
            <w:pPr>
              <w:rPr>
                <w:rFonts w:eastAsia="標楷體"/>
              </w:rPr>
            </w:pPr>
          </w:p>
          <w:p w:rsidR="00E3063F" w:rsidRDefault="00E3063F" w:rsidP="00BA1D1B">
            <w:pPr>
              <w:rPr>
                <w:rFonts w:eastAsia="標楷體"/>
              </w:rPr>
            </w:pPr>
          </w:p>
          <w:p w:rsidR="00E3063F" w:rsidRDefault="00E3063F" w:rsidP="00BA1D1B">
            <w:pPr>
              <w:rPr>
                <w:rFonts w:eastAsia="標楷體"/>
              </w:rPr>
            </w:pPr>
          </w:p>
          <w:p w:rsidR="00C2573E" w:rsidRDefault="00C2573E" w:rsidP="00BA1D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為免</w:t>
            </w:r>
            <w:r w:rsidR="00E3063F">
              <w:rPr>
                <w:rFonts w:eastAsia="標楷體" w:hint="eastAsia"/>
              </w:rPr>
              <w:t>股東會召集權人過度限縮股東投票時間，致股東因來不及投票而影響股東行使投票權利，</w:t>
            </w:r>
            <w:r w:rsidR="004F07F1">
              <w:rPr>
                <w:rFonts w:eastAsia="標楷體" w:hint="eastAsia"/>
              </w:rPr>
              <w:t>修正</w:t>
            </w:r>
            <w:r w:rsidR="00E3063F">
              <w:rPr>
                <w:rFonts w:eastAsia="標楷體" w:hint="eastAsia"/>
              </w:rPr>
              <w:t>第四項。</w:t>
            </w:r>
          </w:p>
        </w:tc>
      </w:tr>
      <w:tr w:rsidR="00BA1D1B" w:rsidRPr="00136BF2" w:rsidTr="00475A90">
        <w:tc>
          <w:tcPr>
            <w:tcW w:w="2765" w:type="dxa"/>
          </w:tcPr>
          <w:p w:rsidR="00BA1D1B" w:rsidRPr="00BA1D1B" w:rsidRDefault="00BA1D1B" w:rsidP="00BA1D1B">
            <w:pPr>
              <w:rPr>
                <w:rFonts w:eastAsia="標楷體"/>
              </w:rPr>
            </w:pPr>
            <w:r w:rsidRPr="00BA1D1B"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十</w:t>
            </w:r>
            <w:r w:rsidRPr="00BA1D1B">
              <w:rPr>
                <w:rFonts w:eastAsia="標楷體" w:hint="eastAsia"/>
              </w:rPr>
              <w:t>三條</w:t>
            </w:r>
          </w:p>
          <w:p w:rsidR="00BA1D1B" w:rsidRDefault="00BA1D1B" w:rsidP="00BA1D1B">
            <w:pPr>
              <w:rPr>
                <w:rFonts w:eastAsia="標楷體"/>
              </w:rPr>
            </w:pPr>
            <w:proofErr w:type="gramStart"/>
            <w:r w:rsidRPr="00BA1D1B">
              <w:rPr>
                <w:rFonts w:eastAsia="標楷體" w:hint="eastAsia"/>
              </w:rPr>
              <w:t>第一項略</w:t>
            </w:r>
            <w:proofErr w:type="gramEnd"/>
            <w:r w:rsidRPr="00BA1D1B">
              <w:rPr>
                <w:rFonts w:eastAsia="標楷體" w:hint="eastAsia"/>
              </w:rPr>
              <w:t>。</w:t>
            </w:r>
          </w:p>
          <w:p w:rsidR="00BA1D1B" w:rsidRDefault="00BA1D1B" w:rsidP="00BA1D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BA1D1B">
              <w:rPr>
                <w:rFonts w:eastAsia="標楷體" w:hint="eastAsia"/>
              </w:rPr>
              <w:t>本公司召開股東會時，</w:t>
            </w:r>
            <w:r w:rsidRPr="006E48F8">
              <w:rPr>
                <w:rFonts w:eastAsia="標楷體" w:hint="eastAsia"/>
              </w:rPr>
              <w:t>應</w:t>
            </w:r>
            <w:proofErr w:type="gramStart"/>
            <w:r w:rsidRPr="006E48F8">
              <w:rPr>
                <w:rFonts w:eastAsia="標楷體" w:hint="eastAsia"/>
              </w:rPr>
              <w:t>採</w:t>
            </w:r>
            <w:proofErr w:type="gramEnd"/>
            <w:r w:rsidRPr="006E48F8">
              <w:rPr>
                <w:rFonts w:eastAsia="標楷體" w:hint="eastAsia"/>
              </w:rPr>
              <w:t>行以電子方式並得</w:t>
            </w:r>
            <w:proofErr w:type="gramStart"/>
            <w:r w:rsidRPr="006E48F8">
              <w:rPr>
                <w:rFonts w:eastAsia="標楷體" w:hint="eastAsia"/>
              </w:rPr>
              <w:t>採</w:t>
            </w:r>
            <w:proofErr w:type="gramEnd"/>
            <w:r w:rsidRPr="006E48F8">
              <w:rPr>
                <w:rFonts w:eastAsia="標楷體" w:hint="eastAsia"/>
              </w:rPr>
              <w:t>行以書面</w:t>
            </w:r>
            <w:r>
              <w:rPr>
                <w:rFonts w:eastAsia="標楷體" w:hint="eastAsia"/>
              </w:rPr>
              <w:t>方式行使其表決權</w:t>
            </w:r>
            <w:r w:rsidRPr="00BA1D1B">
              <w:rPr>
                <w:rFonts w:eastAsia="標楷體" w:hint="eastAsia"/>
              </w:rPr>
              <w:t>；其以書面或電子方式行使表決權時，其行使方法應載明於股東會召集通知。以書面或電子方式行使表決權之股東，視為親自出席股東會。但就該次股東會之臨時動議及原議案之修正，視為棄權，故本公司宜避免提出臨時動議及原議案之修正。</w:t>
            </w:r>
          </w:p>
          <w:p w:rsidR="00BA1D1B" w:rsidRDefault="00BA1D1B" w:rsidP="00BA1D1B">
            <w:pPr>
              <w:rPr>
                <w:rFonts w:eastAsia="標楷體"/>
              </w:rPr>
            </w:pPr>
          </w:p>
          <w:p w:rsidR="00C01F0C" w:rsidRDefault="00C01F0C" w:rsidP="00BA1D1B">
            <w:pPr>
              <w:rPr>
                <w:rFonts w:eastAsia="標楷體"/>
              </w:rPr>
            </w:pPr>
          </w:p>
          <w:p w:rsidR="00C01F0C" w:rsidRDefault="00C01F0C" w:rsidP="00BA1D1B">
            <w:pPr>
              <w:rPr>
                <w:rFonts w:eastAsia="標楷體"/>
              </w:rPr>
            </w:pPr>
          </w:p>
          <w:p w:rsidR="00C01F0C" w:rsidRDefault="00C01F0C" w:rsidP="00BA1D1B">
            <w:pPr>
              <w:rPr>
                <w:rFonts w:eastAsia="標楷體"/>
              </w:rPr>
            </w:pPr>
          </w:p>
          <w:p w:rsidR="00C01F0C" w:rsidRDefault="00C01F0C" w:rsidP="00BA1D1B">
            <w:pPr>
              <w:rPr>
                <w:rFonts w:eastAsia="標楷體"/>
              </w:rPr>
            </w:pPr>
          </w:p>
          <w:p w:rsidR="00C01F0C" w:rsidRDefault="00C01F0C" w:rsidP="00BA1D1B">
            <w:pPr>
              <w:rPr>
                <w:rFonts w:eastAsia="標楷體"/>
              </w:rPr>
            </w:pPr>
          </w:p>
          <w:p w:rsidR="00BA1D1B" w:rsidRPr="0062194E" w:rsidRDefault="00BA1D1B" w:rsidP="00BA1D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以下略。</w:t>
            </w:r>
          </w:p>
        </w:tc>
        <w:tc>
          <w:tcPr>
            <w:tcW w:w="2765" w:type="dxa"/>
          </w:tcPr>
          <w:p w:rsidR="00BA1D1B" w:rsidRPr="00C2573E" w:rsidRDefault="00BA1D1B" w:rsidP="00BA1D1B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第十三條</w:t>
            </w:r>
          </w:p>
          <w:p w:rsidR="00BA1D1B" w:rsidRPr="00C2573E" w:rsidRDefault="00BA1D1B" w:rsidP="00BA1D1B">
            <w:pPr>
              <w:rPr>
                <w:rFonts w:eastAsia="標楷體"/>
              </w:rPr>
            </w:pPr>
            <w:proofErr w:type="gramStart"/>
            <w:r w:rsidRPr="00C2573E">
              <w:rPr>
                <w:rFonts w:eastAsia="標楷體" w:hint="eastAsia"/>
              </w:rPr>
              <w:t>第一項略</w:t>
            </w:r>
            <w:proofErr w:type="gramEnd"/>
            <w:r w:rsidRPr="00C2573E">
              <w:rPr>
                <w:rFonts w:eastAsia="標楷體" w:hint="eastAsia"/>
              </w:rPr>
              <w:t>。</w:t>
            </w:r>
          </w:p>
          <w:p w:rsidR="00BA1D1B" w:rsidRDefault="00BA1D1B" w:rsidP="00BA1D1B">
            <w:pPr>
              <w:rPr>
                <w:rFonts w:eastAsia="標楷體"/>
              </w:rPr>
            </w:pPr>
            <w:r w:rsidRPr="00BA1D1B">
              <w:rPr>
                <w:rFonts w:eastAsia="標楷體" w:hint="eastAsia"/>
              </w:rPr>
              <w:t xml:space="preserve">    </w:t>
            </w:r>
            <w:r w:rsidRPr="00BA1D1B">
              <w:rPr>
                <w:rFonts w:eastAsia="標楷體" w:hint="eastAsia"/>
                <w:u w:val="single"/>
              </w:rPr>
              <w:t>本公司召開股東會時，得</w:t>
            </w:r>
            <w:proofErr w:type="gramStart"/>
            <w:r w:rsidRPr="00BA1D1B">
              <w:rPr>
                <w:rFonts w:eastAsia="標楷體" w:hint="eastAsia"/>
                <w:u w:val="single"/>
              </w:rPr>
              <w:t>採</w:t>
            </w:r>
            <w:proofErr w:type="gramEnd"/>
            <w:r w:rsidRPr="00BA1D1B">
              <w:rPr>
                <w:rFonts w:eastAsia="標楷體" w:hint="eastAsia"/>
                <w:u w:val="single"/>
              </w:rPr>
              <w:t>行以書面或電子方式行使其表決權</w:t>
            </w:r>
            <w:proofErr w:type="gramStart"/>
            <w:r w:rsidRPr="00BA1D1B">
              <w:rPr>
                <w:rFonts w:eastAsia="標楷體" w:hint="eastAsia"/>
                <w:u w:val="single"/>
              </w:rPr>
              <w:t>（</w:t>
            </w:r>
            <w:proofErr w:type="gramEnd"/>
            <w:r w:rsidRPr="00BA1D1B">
              <w:rPr>
                <w:rFonts w:eastAsia="標楷體" w:hint="eastAsia"/>
                <w:u w:val="single"/>
              </w:rPr>
              <w:t>依公司法第一百七十七條之一第一項但書應</w:t>
            </w:r>
            <w:proofErr w:type="gramStart"/>
            <w:r w:rsidRPr="00BA1D1B">
              <w:rPr>
                <w:rFonts w:eastAsia="標楷體" w:hint="eastAsia"/>
                <w:u w:val="single"/>
              </w:rPr>
              <w:t>採</w:t>
            </w:r>
            <w:proofErr w:type="gramEnd"/>
            <w:r w:rsidRPr="00BA1D1B">
              <w:rPr>
                <w:rFonts w:eastAsia="標楷體" w:hint="eastAsia"/>
                <w:u w:val="single"/>
              </w:rPr>
              <w:t>行電子投票之公司：</w:t>
            </w:r>
            <w:r w:rsidRPr="00BA1D1B">
              <w:rPr>
                <w:rFonts w:eastAsia="標楷體" w:hint="eastAsia"/>
              </w:rPr>
              <w:t>本公司召開股東會時，應</w:t>
            </w:r>
            <w:proofErr w:type="gramStart"/>
            <w:r w:rsidRPr="00BA1D1B">
              <w:rPr>
                <w:rFonts w:eastAsia="標楷體" w:hint="eastAsia"/>
              </w:rPr>
              <w:t>採</w:t>
            </w:r>
            <w:proofErr w:type="gramEnd"/>
            <w:r w:rsidRPr="00BA1D1B">
              <w:rPr>
                <w:rFonts w:eastAsia="標楷體" w:hint="eastAsia"/>
              </w:rPr>
              <w:t>行以電子方式並得</w:t>
            </w:r>
            <w:proofErr w:type="gramStart"/>
            <w:r w:rsidRPr="00BA1D1B">
              <w:rPr>
                <w:rFonts w:eastAsia="標楷體" w:hint="eastAsia"/>
              </w:rPr>
              <w:t>採</w:t>
            </w:r>
            <w:proofErr w:type="gramEnd"/>
            <w:r w:rsidRPr="00BA1D1B">
              <w:rPr>
                <w:rFonts w:eastAsia="標楷體" w:hint="eastAsia"/>
              </w:rPr>
              <w:t>行以書面方式行使其表決權</w:t>
            </w:r>
            <w:proofErr w:type="gramStart"/>
            <w:r w:rsidRPr="006E48F8">
              <w:rPr>
                <w:rFonts w:eastAsia="標楷體" w:hint="eastAsia"/>
                <w:u w:val="single"/>
              </w:rPr>
              <w:t>）</w:t>
            </w:r>
            <w:proofErr w:type="gramEnd"/>
            <w:r w:rsidRPr="00BA1D1B">
              <w:rPr>
                <w:rFonts w:eastAsia="標楷體" w:hint="eastAsia"/>
              </w:rPr>
              <w:t>；其以書面或電子方式行使表決權時，其行使方法應載明於股東會召集通知。以書面或電子方式行使表決權之股東，視為親自出席股東會。但就該次股東會之臨時動議及原議案之修正，視為棄權，故本公司宜避免提出臨時動議及原議案之修正。</w:t>
            </w:r>
          </w:p>
          <w:p w:rsidR="00BA1D1B" w:rsidRDefault="00BA1D1B" w:rsidP="00BA1D1B">
            <w:pPr>
              <w:rPr>
                <w:rFonts w:eastAsia="標楷體"/>
              </w:rPr>
            </w:pPr>
          </w:p>
          <w:p w:rsidR="00BA1D1B" w:rsidRPr="0062194E" w:rsidRDefault="00BA1D1B" w:rsidP="00BA1D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以下略。</w:t>
            </w:r>
          </w:p>
        </w:tc>
        <w:tc>
          <w:tcPr>
            <w:tcW w:w="2766" w:type="dxa"/>
          </w:tcPr>
          <w:p w:rsidR="00BA1D1B" w:rsidRDefault="00BA1D1B" w:rsidP="00BA1D1B">
            <w:pPr>
              <w:rPr>
                <w:rFonts w:eastAsia="標楷體"/>
              </w:rPr>
            </w:pPr>
          </w:p>
          <w:p w:rsidR="00BA1D1B" w:rsidRDefault="00BA1D1B" w:rsidP="00BA1D1B">
            <w:pPr>
              <w:rPr>
                <w:rFonts w:eastAsia="標楷體"/>
              </w:rPr>
            </w:pPr>
          </w:p>
          <w:p w:rsidR="00BA1D1B" w:rsidRDefault="00BA1D1B" w:rsidP="00BA1D1B">
            <w:pPr>
              <w:rPr>
                <w:rFonts w:eastAsia="標楷體"/>
              </w:rPr>
            </w:pPr>
            <w:r w:rsidRPr="00BA1D1B">
              <w:rPr>
                <w:rFonts w:eastAsia="標楷體" w:hint="eastAsia"/>
              </w:rPr>
              <w:t>配合</w:t>
            </w:r>
            <w:r>
              <w:rPr>
                <w:rFonts w:eastAsia="標楷體" w:hint="eastAsia"/>
              </w:rPr>
              <w:t>107</w:t>
            </w:r>
            <w:r>
              <w:rPr>
                <w:rFonts w:eastAsia="標楷體" w:hint="eastAsia"/>
              </w:rPr>
              <w:t>年起上市上櫃公司全面</w:t>
            </w:r>
            <w:proofErr w:type="gramStart"/>
            <w:r>
              <w:rPr>
                <w:rFonts w:eastAsia="標楷體" w:hint="eastAsia"/>
              </w:rPr>
              <w:t>採</w:t>
            </w:r>
            <w:proofErr w:type="gramEnd"/>
            <w:r>
              <w:rPr>
                <w:rFonts w:eastAsia="標楷體" w:hint="eastAsia"/>
              </w:rPr>
              <w:t>行電子投票，</w:t>
            </w:r>
            <w:r w:rsidR="004F07F1">
              <w:rPr>
                <w:rFonts w:eastAsia="標楷體" w:hint="eastAsia"/>
              </w:rPr>
              <w:t>修正</w:t>
            </w:r>
            <w:r w:rsidRPr="00BA1D1B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二</w:t>
            </w:r>
            <w:r w:rsidRPr="00BA1D1B">
              <w:rPr>
                <w:rFonts w:eastAsia="標楷體" w:hint="eastAsia"/>
              </w:rPr>
              <w:t>項。</w:t>
            </w:r>
          </w:p>
        </w:tc>
      </w:tr>
      <w:tr w:rsidR="00FD3CA4" w:rsidRPr="00136BF2" w:rsidTr="00475A90">
        <w:tc>
          <w:tcPr>
            <w:tcW w:w="2765" w:type="dxa"/>
          </w:tcPr>
          <w:p w:rsidR="003B31F6" w:rsidRPr="003B31F6" w:rsidRDefault="003B31F6" w:rsidP="003B31F6">
            <w:pPr>
              <w:rPr>
                <w:rFonts w:eastAsia="標楷體"/>
              </w:rPr>
            </w:pPr>
            <w:r w:rsidRPr="003B31F6">
              <w:rPr>
                <w:rFonts w:eastAsia="標楷體" w:hint="eastAsia"/>
              </w:rPr>
              <w:t>第十五條</w:t>
            </w:r>
          </w:p>
          <w:p w:rsidR="00FD3CA4" w:rsidRDefault="003B31F6" w:rsidP="003B31F6">
            <w:pPr>
              <w:rPr>
                <w:rFonts w:eastAsia="標楷體"/>
              </w:rPr>
            </w:pPr>
            <w:r w:rsidRPr="003B31F6">
              <w:rPr>
                <w:rFonts w:eastAsia="標楷體" w:hint="eastAsia"/>
              </w:rPr>
              <w:t>第一、二項略。</w:t>
            </w:r>
          </w:p>
          <w:p w:rsidR="003B31F6" w:rsidRPr="00BA1D1B" w:rsidRDefault="00C01F0C" w:rsidP="003B31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3B31F6" w:rsidRPr="003B31F6">
              <w:rPr>
                <w:rFonts w:eastAsia="標楷體" w:hint="eastAsia"/>
              </w:rPr>
              <w:t>議事錄應確實依會</w:t>
            </w:r>
            <w:r w:rsidR="003B31F6" w:rsidRPr="003B31F6">
              <w:rPr>
                <w:rFonts w:eastAsia="標楷體" w:hint="eastAsia"/>
              </w:rPr>
              <w:lastRenderedPageBreak/>
              <w:t>議之年、月、日、場所、主席姓名、決議方法、議事經過之要領及</w:t>
            </w:r>
            <w:r w:rsidR="003B31F6" w:rsidRPr="003B31F6">
              <w:rPr>
                <w:rFonts w:eastAsia="標楷體" w:hint="eastAsia"/>
                <w:u w:val="single"/>
              </w:rPr>
              <w:t>表決</w:t>
            </w:r>
            <w:r w:rsidR="003B31F6" w:rsidRPr="003B31F6">
              <w:rPr>
                <w:rFonts w:eastAsia="標楷體" w:hint="eastAsia"/>
              </w:rPr>
              <w:t>結果</w:t>
            </w:r>
            <w:r w:rsidR="006C672E" w:rsidRPr="006C672E">
              <w:rPr>
                <w:rFonts w:eastAsia="標楷體" w:hint="eastAsia"/>
                <w:u w:val="single"/>
              </w:rPr>
              <w:t>（</w:t>
            </w:r>
            <w:r w:rsidR="003B31F6" w:rsidRPr="003B31F6">
              <w:rPr>
                <w:rFonts w:eastAsia="標楷體" w:hint="eastAsia"/>
                <w:u w:val="single"/>
              </w:rPr>
              <w:t>包含統計之權數</w:t>
            </w:r>
            <w:r w:rsidR="006C672E">
              <w:rPr>
                <w:rFonts w:eastAsia="標楷體" w:hint="eastAsia"/>
                <w:u w:val="single"/>
              </w:rPr>
              <w:t>）</w:t>
            </w:r>
            <w:r w:rsidR="003B31F6" w:rsidRPr="003B31F6">
              <w:rPr>
                <w:rFonts w:eastAsia="標楷體" w:hint="eastAsia"/>
              </w:rPr>
              <w:t>記載之，</w:t>
            </w:r>
            <w:r w:rsidR="003B31F6" w:rsidRPr="003B31F6">
              <w:rPr>
                <w:rFonts w:eastAsia="標楷體" w:hint="eastAsia"/>
                <w:u w:val="single"/>
              </w:rPr>
              <w:t>有選舉董事、監察人時，應揭露每位候選人之得票權數</w:t>
            </w:r>
            <w:r w:rsidR="003B31F6" w:rsidRPr="003B31F6">
              <w:rPr>
                <w:rFonts w:eastAsia="標楷體" w:hint="eastAsia"/>
              </w:rPr>
              <w:t>。在本公司存續</w:t>
            </w:r>
            <w:proofErr w:type="gramStart"/>
            <w:r w:rsidR="003B31F6" w:rsidRPr="003B31F6">
              <w:rPr>
                <w:rFonts w:eastAsia="標楷體" w:hint="eastAsia"/>
              </w:rPr>
              <w:t>期間，</w:t>
            </w:r>
            <w:proofErr w:type="gramEnd"/>
            <w:r w:rsidR="003B31F6" w:rsidRPr="003B31F6">
              <w:rPr>
                <w:rFonts w:eastAsia="標楷體" w:hint="eastAsia"/>
              </w:rPr>
              <w:t>應永久保存。</w:t>
            </w:r>
          </w:p>
        </w:tc>
        <w:tc>
          <w:tcPr>
            <w:tcW w:w="2765" w:type="dxa"/>
          </w:tcPr>
          <w:p w:rsidR="003B31F6" w:rsidRPr="00C2573E" w:rsidRDefault="003B31F6" w:rsidP="003B31F6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lastRenderedPageBreak/>
              <w:t>第十五條</w:t>
            </w:r>
          </w:p>
          <w:p w:rsidR="003B31F6" w:rsidRPr="00C2573E" w:rsidRDefault="003B31F6" w:rsidP="003B31F6">
            <w:pPr>
              <w:rPr>
                <w:rFonts w:eastAsia="標楷體"/>
              </w:rPr>
            </w:pPr>
            <w:r w:rsidRPr="00C2573E">
              <w:rPr>
                <w:rFonts w:eastAsia="標楷體" w:hint="eastAsia"/>
              </w:rPr>
              <w:t>第一</w:t>
            </w:r>
            <w:r w:rsidRPr="00C2573E">
              <w:rPr>
                <w:rFonts w:ascii="新細明體" w:eastAsia="新細明體" w:hAnsi="新細明體" w:hint="eastAsia"/>
              </w:rPr>
              <w:t>、</w:t>
            </w:r>
            <w:r w:rsidRPr="00C2573E">
              <w:rPr>
                <w:rFonts w:eastAsia="標楷體" w:hint="eastAsia"/>
              </w:rPr>
              <w:t>二項略。</w:t>
            </w:r>
          </w:p>
          <w:p w:rsidR="00FD3CA4" w:rsidRPr="00BA1D1B" w:rsidRDefault="00C01F0C" w:rsidP="004F07F1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</w:t>
            </w:r>
            <w:r w:rsidR="003B31F6" w:rsidRPr="003B31F6">
              <w:rPr>
                <w:rFonts w:eastAsia="標楷體" w:hint="eastAsia"/>
              </w:rPr>
              <w:t>議事錄應確實依會</w:t>
            </w:r>
            <w:r w:rsidR="003B31F6" w:rsidRPr="003B31F6">
              <w:rPr>
                <w:rFonts w:eastAsia="標楷體" w:hint="eastAsia"/>
              </w:rPr>
              <w:lastRenderedPageBreak/>
              <w:t>議之年、月、日、場所、主席姓名、決議方法、議事經過之要領及</w:t>
            </w:r>
            <w:r w:rsidR="003B31F6" w:rsidRPr="003B31F6">
              <w:rPr>
                <w:rFonts w:eastAsia="標楷體" w:hint="eastAsia"/>
                <w:u w:val="single"/>
              </w:rPr>
              <w:t>其</w:t>
            </w:r>
            <w:r w:rsidR="003B31F6" w:rsidRPr="003B31F6">
              <w:rPr>
                <w:rFonts w:eastAsia="標楷體" w:hint="eastAsia"/>
              </w:rPr>
              <w:t>結果記載之，在本公司存續</w:t>
            </w:r>
            <w:proofErr w:type="gramStart"/>
            <w:r w:rsidR="003B31F6" w:rsidRPr="003B31F6">
              <w:rPr>
                <w:rFonts w:eastAsia="標楷體" w:hint="eastAsia"/>
              </w:rPr>
              <w:t>期間，</w:t>
            </w:r>
            <w:proofErr w:type="gramEnd"/>
            <w:r w:rsidR="003B31F6" w:rsidRPr="003B31F6">
              <w:rPr>
                <w:rFonts w:eastAsia="標楷體" w:hint="eastAsia"/>
              </w:rPr>
              <w:t>應永久保存。</w:t>
            </w:r>
          </w:p>
        </w:tc>
        <w:tc>
          <w:tcPr>
            <w:tcW w:w="2766" w:type="dxa"/>
          </w:tcPr>
          <w:p w:rsidR="00C01F0C" w:rsidRDefault="00C01F0C" w:rsidP="00BA1D1B">
            <w:pPr>
              <w:rPr>
                <w:rFonts w:eastAsia="標楷體"/>
              </w:rPr>
            </w:pPr>
          </w:p>
          <w:p w:rsidR="00C01F0C" w:rsidRDefault="00C01F0C" w:rsidP="00BA1D1B">
            <w:pPr>
              <w:rPr>
                <w:rFonts w:eastAsia="標楷體"/>
              </w:rPr>
            </w:pPr>
          </w:p>
          <w:p w:rsidR="00FD3CA4" w:rsidRDefault="003B31F6" w:rsidP="00BA1D1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為落實逐案票決精神，</w:t>
            </w:r>
            <w:r>
              <w:rPr>
                <w:rFonts w:eastAsia="標楷體" w:hint="eastAsia"/>
              </w:rPr>
              <w:lastRenderedPageBreak/>
              <w:t>參考亞洲公司治理協會建議修正第三項。</w:t>
            </w:r>
          </w:p>
        </w:tc>
      </w:tr>
    </w:tbl>
    <w:p w:rsidR="00475A90" w:rsidRPr="0062194E" w:rsidRDefault="00475A90" w:rsidP="008E4758">
      <w:pPr>
        <w:rPr>
          <w:rFonts w:eastAsia="標楷體"/>
        </w:rPr>
      </w:pPr>
    </w:p>
    <w:sectPr w:rsidR="00475A90" w:rsidRPr="0062194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F6" w:rsidRDefault="007501F6" w:rsidP="00CB3D95">
      <w:r>
        <w:separator/>
      </w:r>
    </w:p>
  </w:endnote>
  <w:endnote w:type="continuationSeparator" w:id="0">
    <w:p w:rsidR="007501F6" w:rsidRDefault="007501F6" w:rsidP="00C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37" w:rsidRDefault="00553E37" w:rsidP="00553E37">
    <w:pPr>
      <w:pStyle w:val="a6"/>
      <w:jc w:val="right"/>
    </w:pPr>
    <w:r>
      <w:rPr>
        <w:rFonts w:hint="eastAsia"/>
      </w:rPr>
      <w:t>本範例僅供上市櫃公司參考，</w:t>
    </w:r>
    <w:r w:rsidRPr="00553E37">
      <w:rPr>
        <w:rFonts w:hint="eastAsia"/>
      </w:rPr>
      <w:t>公司</w:t>
    </w:r>
    <w:r>
      <w:rPr>
        <w:rFonts w:hint="eastAsia"/>
      </w:rPr>
      <w:t>仍應依最新法規修正及公司實際運作隨時修正其議事規則。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F6" w:rsidRDefault="007501F6" w:rsidP="00CB3D95">
      <w:r>
        <w:separator/>
      </w:r>
    </w:p>
  </w:footnote>
  <w:footnote w:type="continuationSeparator" w:id="0">
    <w:p w:rsidR="007501F6" w:rsidRDefault="007501F6" w:rsidP="00CB3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E37" w:rsidRDefault="00553E37" w:rsidP="00553E3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4E2"/>
    <w:multiLevelType w:val="hybridMultilevel"/>
    <w:tmpl w:val="C5666324"/>
    <w:lvl w:ilvl="0" w:tplc="D54A0A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502FF"/>
    <w:multiLevelType w:val="hybridMultilevel"/>
    <w:tmpl w:val="BABC5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58"/>
    <w:rsid w:val="00015050"/>
    <w:rsid w:val="0002285E"/>
    <w:rsid w:val="00030311"/>
    <w:rsid w:val="00030504"/>
    <w:rsid w:val="00037708"/>
    <w:rsid w:val="0004010B"/>
    <w:rsid w:val="0004337D"/>
    <w:rsid w:val="00046A6F"/>
    <w:rsid w:val="00053B09"/>
    <w:rsid w:val="000B7682"/>
    <w:rsid w:val="000C1F4B"/>
    <w:rsid w:val="000D4514"/>
    <w:rsid w:val="000F7FD8"/>
    <w:rsid w:val="00115AC0"/>
    <w:rsid w:val="00127049"/>
    <w:rsid w:val="00136BF2"/>
    <w:rsid w:val="001669BD"/>
    <w:rsid w:val="00181D3C"/>
    <w:rsid w:val="00182A05"/>
    <w:rsid w:val="00190D27"/>
    <w:rsid w:val="00195524"/>
    <w:rsid w:val="001A29F7"/>
    <w:rsid w:val="001D17BF"/>
    <w:rsid w:val="001D44A5"/>
    <w:rsid w:val="0021071A"/>
    <w:rsid w:val="0021422A"/>
    <w:rsid w:val="0022255A"/>
    <w:rsid w:val="00244729"/>
    <w:rsid w:val="00253C1A"/>
    <w:rsid w:val="002709B7"/>
    <w:rsid w:val="00272261"/>
    <w:rsid w:val="002739B6"/>
    <w:rsid w:val="002873C0"/>
    <w:rsid w:val="002A450D"/>
    <w:rsid w:val="002D5659"/>
    <w:rsid w:val="002E424A"/>
    <w:rsid w:val="002E7B2A"/>
    <w:rsid w:val="00306FED"/>
    <w:rsid w:val="00337C93"/>
    <w:rsid w:val="0036125F"/>
    <w:rsid w:val="0039679E"/>
    <w:rsid w:val="003B31F6"/>
    <w:rsid w:val="003C785E"/>
    <w:rsid w:val="003D1D0D"/>
    <w:rsid w:val="003D480B"/>
    <w:rsid w:val="003E0DF7"/>
    <w:rsid w:val="003E724A"/>
    <w:rsid w:val="00435004"/>
    <w:rsid w:val="00446EF7"/>
    <w:rsid w:val="00475A90"/>
    <w:rsid w:val="00490E46"/>
    <w:rsid w:val="004A3AD6"/>
    <w:rsid w:val="004B240E"/>
    <w:rsid w:val="004B31B5"/>
    <w:rsid w:val="004B7121"/>
    <w:rsid w:val="004E651A"/>
    <w:rsid w:val="004F03F9"/>
    <w:rsid w:val="004F07F1"/>
    <w:rsid w:val="004F161E"/>
    <w:rsid w:val="00531A3C"/>
    <w:rsid w:val="00535117"/>
    <w:rsid w:val="00553E37"/>
    <w:rsid w:val="00560415"/>
    <w:rsid w:val="00560498"/>
    <w:rsid w:val="00561480"/>
    <w:rsid w:val="005741CB"/>
    <w:rsid w:val="0059577D"/>
    <w:rsid w:val="005A3670"/>
    <w:rsid w:val="005B0BFC"/>
    <w:rsid w:val="005C387C"/>
    <w:rsid w:val="005D248A"/>
    <w:rsid w:val="005F4A76"/>
    <w:rsid w:val="005F6331"/>
    <w:rsid w:val="005F7E71"/>
    <w:rsid w:val="00605A45"/>
    <w:rsid w:val="00606059"/>
    <w:rsid w:val="00610A0C"/>
    <w:rsid w:val="006132B7"/>
    <w:rsid w:val="0062194E"/>
    <w:rsid w:val="006254BB"/>
    <w:rsid w:val="00650E3E"/>
    <w:rsid w:val="006A5CAB"/>
    <w:rsid w:val="006A5E07"/>
    <w:rsid w:val="006B3CBB"/>
    <w:rsid w:val="006C5625"/>
    <w:rsid w:val="006C672E"/>
    <w:rsid w:val="006D7021"/>
    <w:rsid w:val="006E281D"/>
    <w:rsid w:val="006E48F8"/>
    <w:rsid w:val="006F0898"/>
    <w:rsid w:val="00716AA1"/>
    <w:rsid w:val="007414C4"/>
    <w:rsid w:val="007501F6"/>
    <w:rsid w:val="0076151E"/>
    <w:rsid w:val="00766DC5"/>
    <w:rsid w:val="00767DE1"/>
    <w:rsid w:val="007B45DD"/>
    <w:rsid w:val="007C534E"/>
    <w:rsid w:val="008207B1"/>
    <w:rsid w:val="00837214"/>
    <w:rsid w:val="00867627"/>
    <w:rsid w:val="00877F7D"/>
    <w:rsid w:val="008A4A52"/>
    <w:rsid w:val="008D49A0"/>
    <w:rsid w:val="008D74F1"/>
    <w:rsid w:val="008E4758"/>
    <w:rsid w:val="008F7F6F"/>
    <w:rsid w:val="00910E8E"/>
    <w:rsid w:val="009179B0"/>
    <w:rsid w:val="00925AD3"/>
    <w:rsid w:val="009321D0"/>
    <w:rsid w:val="009534CD"/>
    <w:rsid w:val="00996C49"/>
    <w:rsid w:val="009A18B2"/>
    <w:rsid w:val="009A1958"/>
    <w:rsid w:val="009B6836"/>
    <w:rsid w:val="009C42B0"/>
    <w:rsid w:val="009C6C01"/>
    <w:rsid w:val="009D31E8"/>
    <w:rsid w:val="009D78D4"/>
    <w:rsid w:val="009E2B97"/>
    <w:rsid w:val="00A0548D"/>
    <w:rsid w:val="00A21B53"/>
    <w:rsid w:val="00A85868"/>
    <w:rsid w:val="00AC1A81"/>
    <w:rsid w:val="00AE6CED"/>
    <w:rsid w:val="00AE70B4"/>
    <w:rsid w:val="00AF5B32"/>
    <w:rsid w:val="00B2372A"/>
    <w:rsid w:val="00B73A21"/>
    <w:rsid w:val="00B94BDD"/>
    <w:rsid w:val="00BA1BC1"/>
    <w:rsid w:val="00BA1D1B"/>
    <w:rsid w:val="00BB6A8A"/>
    <w:rsid w:val="00BC3115"/>
    <w:rsid w:val="00BC5783"/>
    <w:rsid w:val="00BE0180"/>
    <w:rsid w:val="00BF1BD5"/>
    <w:rsid w:val="00BF4EA9"/>
    <w:rsid w:val="00C01F0C"/>
    <w:rsid w:val="00C114DB"/>
    <w:rsid w:val="00C124EF"/>
    <w:rsid w:val="00C17F5B"/>
    <w:rsid w:val="00C2573E"/>
    <w:rsid w:val="00C54AAF"/>
    <w:rsid w:val="00C60F10"/>
    <w:rsid w:val="00C64145"/>
    <w:rsid w:val="00CB3D95"/>
    <w:rsid w:val="00CC75E1"/>
    <w:rsid w:val="00CE6BC9"/>
    <w:rsid w:val="00CF1753"/>
    <w:rsid w:val="00D01F72"/>
    <w:rsid w:val="00D024EA"/>
    <w:rsid w:val="00D07CED"/>
    <w:rsid w:val="00D41E8F"/>
    <w:rsid w:val="00D420E0"/>
    <w:rsid w:val="00D45000"/>
    <w:rsid w:val="00D64AD3"/>
    <w:rsid w:val="00D6769A"/>
    <w:rsid w:val="00D85054"/>
    <w:rsid w:val="00D91E57"/>
    <w:rsid w:val="00DB4E89"/>
    <w:rsid w:val="00DC1331"/>
    <w:rsid w:val="00DC7F3C"/>
    <w:rsid w:val="00DD5B14"/>
    <w:rsid w:val="00DF3DD5"/>
    <w:rsid w:val="00DF4275"/>
    <w:rsid w:val="00DF4FCF"/>
    <w:rsid w:val="00E00931"/>
    <w:rsid w:val="00E10C0D"/>
    <w:rsid w:val="00E1329D"/>
    <w:rsid w:val="00E14A31"/>
    <w:rsid w:val="00E165A2"/>
    <w:rsid w:val="00E3063F"/>
    <w:rsid w:val="00E565D0"/>
    <w:rsid w:val="00E56F40"/>
    <w:rsid w:val="00E57F59"/>
    <w:rsid w:val="00E815A8"/>
    <w:rsid w:val="00E9563E"/>
    <w:rsid w:val="00EA0BC8"/>
    <w:rsid w:val="00EA0EAA"/>
    <w:rsid w:val="00ED0BE9"/>
    <w:rsid w:val="00F22E9F"/>
    <w:rsid w:val="00F656FF"/>
    <w:rsid w:val="00F65F73"/>
    <w:rsid w:val="00F672FD"/>
    <w:rsid w:val="00F7678A"/>
    <w:rsid w:val="00F96488"/>
    <w:rsid w:val="00FA428F"/>
    <w:rsid w:val="00FC7B50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BD46D-8542-4F9C-934D-B2E25002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3D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3D95"/>
    <w:rPr>
      <w:sz w:val="20"/>
      <w:szCs w:val="20"/>
    </w:rPr>
  </w:style>
  <w:style w:type="paragraph" w:styleId="a8">
    <w:name w:val="List Paragraph"/>
    <w:basedOn w:val="a"/>
    <w:uiPriority w:val="34"/>
    <w:qFormat/>
    <w:rsid w:val="00A8586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9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33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5167-3737-44C4-934F-0795F239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1990</Characters>
  <Application>Microsoft Office Word</Application>
  <DocSecurity>0</DocSecurity>
  <Lines>16</Lines>
  <Paragraphs>4</Paragraphs>
  <ScaleCrop>false</ScaleCrop>
  <Company>TWSE 臺灣證券交易所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陳櫻樺</dc:creator>
  <cp:keywords/>
  <dc:description/>
  <cp:lastModifiedBy>陳櫻樺</cp:lastModifiedBy>
  <cp:revision>3</cp:revision>
  <cp:lastPrinted>2018-09-05T07:30:00Z</cp:lastPrinted>
  <dcterms:created xsi:type="dcterms:W3CDTF">2019-12-31T04:16:00Z</dcterms:created>
  <dcterms:modified xsi:type="dcterms:W3CDTF">2019-12-31T04:17:00Z</dcterms:modified>
</cp:coreProperties>
</file>