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32" w:rsidRPr="0062194E" w:rsidRDefault="00306FED" w:rsidP="00605A45">
      <w:pPr>
        <w:jc w:val="center"/>
        <w:rPr>
          <w:rFonts w:eastAsia="標楷體"/>
        </w:rPr>
      </w:pPr>
      <w:r w:rsidRPr="00306FED">
        <w:rPr>
          <w:rFonts w:eastAsia="標楷體" w:hint="eastAsia"/>
        </w:rPr>
        <w:t>「○○股份有限公司股東會議事規則」參考範例</w:t>
      </w:r>
      <w:r w:rsidR="00D41E8F">
        <w:rPr>
          <w:rFonts w:eastAsia="標楷體" w:hint="eastAsia"/>
        </w:rPr>
        <w:t>條文</w:t>
      </w:r>
      <w:r w:rsidR="00E565D0">
        <w:rPr>
          <w:rFonts w:eastAsia="標楷體" w:hint="eastAsia"/>
        </w:rPr>
        <w:t>修正對照表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75A90" w:rsidRPr="0062194E" w:rsidTr="00475A90">
        <w:tc>
          <w:tcPr>
            <w:tcW w:w="2765" w:type="dxa"/>
          </w:tcPr>
          <w:p w:rsidR="00475A90" w:rsidRPr="0062194E" w:rsidRDefault="00877F7D" w:rsidP="00BF4EA9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修正條文</w:t>
            </w:r>
          </w:p>
        </w:tc>
        <w:tc>
          <w:tcPr>
            <w:tcW w:w="2765" w:type="dxa"/>
          </w:tcPr>
          <w:p w:rsidR="00475A90" w:rsidRPr="0062194E" w:rsidRDefault="00877F7D" w:rsidP="008E4758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現行條文</w:t>
            </w:r>
          </w:p>
        </w:tc>
        <w:tc>
          <w:tcPr>
            <w:tcW w:w="2766" w:type="dxa"/>
          </w:tcPr>
          <w:p w:rsidR="00475A90" w:rsidRPr="0062194E" w:rsidRDefault="00BC5783" w:rsidP="008E4758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說明</w:t>
            </w:r>
          </w:p>
        </w:tc>
      </w:tr>
      <w:tr w:rsidR="0021422A" w:rsidRPr="00136BF2" w:rsidTr="00475A90">
        <w:tc>
          <w:tcPr>
            <w:tcW w:w="2765" w:type="dxa"/>
          </w:tcPr>
          <w:p w:rsidR="0021422A" w:rsidRPr="0062194E" w:rsidRDefault="0021422A" w:rsidP="0021422A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第</w:t>
            </w:r>
            <w:r w:rsidR="00015050">
              <w:rPr>
                <w:rFonts w:eastAsia="標楷體" w:hint="eastAsia"/>
              </w:rPr>
              <w:t>三</w:t>
            </w:r>
            <w:r w:rsidRPr="0062194E">
              <w:rPr>
                <w:rFonts w:eastAsia="標楷體"/>
              </w:rPr>
              <w:t>條</w:t>
            </w:r>
          </w:p>
          <w:p w:rsidR="00015050" w:rsidRDefault="00DB4E89" w:rsidP="00015050">
            <w:pPr>
              <w:rPr>
                <w:rFonts w:eastAsia="標楷體"/>
              </w:rPr>
            </w:pPr>
            <w:r w:rsidRPr="00DB4E89">
              <w:rPr>
                <w:rFonts w:eastAsia="標楷體" w:hint="eastAsia"/>
              </w:rPr>
              <w:t>第一、二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015050">
              <w:rPr>
                <w:rFonts w:eastAsia="標楷體" w:hint="eastAsia"/>
              </w:rPr>
              <w:t>三項略。</w:t>
            </w:r>
            <w:r w:rsidR="0021422A" w:rsidRPr="0062194E">
              <w:rPr>
                <w:rFonts w:eastAsia="標楷體"/>
              </w:rPr>
              <w:t xml:space="preserve">   </w:t>
            </w:r>
          </w:p>
          <w:p w:rsidR="009A6EDD" w:rsidRPr="009A6EDD" w:rsidRDefault="00015050" w:rsidP="009A6E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 xml:space="preserve">    </w:t>
            </w:r>
            <w:r w:rsidR="009A6EDD" w:rsidRPr="009A6EDD">
              <w:rPr>
                <w:rFonts w:ascii="Times New Roman" w:eastAsia="標楷體" w:hAnsi="Times New Roman" w:cs="Times New Roman" w:hint="eastAsia"/>
              </w:rPr>
              <w:t>選任或解任董事、監察人、變更章程、減資、申請停止公開發行、董事競業許可、盈餘轉增資、公積轉增資、公司解散、合併、分割或公司法第一百八十五條第一項各款之事項、證券交易法第二十六條之一、第四十三條</w:t>
            </w:r>
          </w:p>
          <w:p w:rsidR="007D7569" w:rsidRPr="00E815A8" w:rsidRDefault="009A6EDD" w:rsidP="009A6EDD">
            <w:pPr>
              <w:rPr>
                <w:rFonts w:eastAsia="標楷體"/>
              </w:rPr>
            </w:pPr>
            <w:r w:rsidRPr="009A6EDD">
              <w:rPr>
                <w:rFonts w:ascii="Times New Roman" w:eastAsia="標楷體" w:hAnsi="Times New Roman" w:cs="Times New Roman" w:hint="eastAsia"/>
              </w:rPr>
              <w:t>之六、發行人募集與發行有價證券處理準則第五十六條之</w:t>
            </w:r>
            <w:proofErr w:type="gramStart"/>
            <w:r w:rsidRPr="009A6EDD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9A6EDD">
              <w:rPr>
                <w:rFonts w:ascii="Times New Roman" w:eastAsia="標楷體" w:hAnsi="Times New Roman" w:cs="Times New Roman" w:hint="eastAsia"/>
              </w:rPr>
              <w:t>及第六十條之二之事項，應在召集事由中列舉並說明其主要內容，不得以臨時動議提出。</w:t>
            </w:r>
            <w:r w:rsidR="00015050"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9A6EDD" w:rsidRDefault="009A6EDD" w:rsidP="00DD5B14">
            <w:pPr>
              <w:rPr>
                <w:rFonts w:eastAsia="標楷體"/>
              </w:rPr>
            </w:pPr>
          </w:p>
          <w:p w:rsidR="009A6EDD" w:rsidRDefault="009A6EDD" w:rsidP="00DD5B14">
            <w:pPr>
              <w:rPr>
                <w:rFonts w:eastAsia="標楷體"/>
              </w:rPr>
            </w:pPr>
          </w:p>
          <w:p w:rsidR="009A6EDD" w:rsidRDefault="009A6EDD" w:rsidP="00DD5B14">
            <w:pPr>
              <w:rPr>
                <w:rFonts w:eastAsia="標楷體"/>
              </w:rPr>
            </w:pPr>
          </w:p>
          <w:p w:rsidR="009A6EDD" w:rsidRPr="009A6EDD" w:rsidRDefault="009A6EDD" w:rsidP="00DD5B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以下略。</w:t>
            </w:r>
          </w:p>
        </w:tc>
        <w:tc>
          <w:tcPr>
            <w:tcW w:w="2765" w:type="dxa"/>
          </w:tcPr>
          <w:p w:rsidR="0021422A" w:rsidRDefault="0021422A" w:rsidP="0021422A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第</w:t>
            </w:r>
            <w:r w:rsidR="00015050">
              <w:rPr>
                <w:rFonts w:eastAsia="標楷體" w:hint="eastAsia"/>
              </w:rPr>
              <w:t>三</w:t>
            </w:r>
            <w:r w:rsidRPr="0062194E">
              <w:rPr>
                <w:rFonts w:eastAsia="標楷體"/>
              </w:rPr>
              <w:t>條</w:t>
            </w:r>
          </w:p>
          <w:p w:rsidR="00015050" w:rsidRPr="0062194E" w:rsidRDefault="00DB4E89" w:rsidP="0021422A">
            <w:pPr>
              <w:rPr>
                <w:rFonts w:eastAsia="標楷體"/>
              </w:rPr>
            </w:pPr>
            <w:r w:rsidRPr="00DB4E89">
              <w:rPr>
                <w:rFonts w:eastAsia="標楷體" w:hint="eastAsia"/>
              </w:rPr>
              <w:t>第一、二、三項略</w:t>
            </w:r>
            <w:r>
              <w:rPr>
                <w:rFonts w:eastAsia="標楷體" w:hint="eastAsia"/>
              </w:rPr>
              <w:t>。</w:t>
            </w:r>
          </w:p>
          <w:p w:rsidR="009A6EDD" w:rsidRPr="009A6EDD" w:rsidRDefault="0021422A" w:rsidP="009A6EDD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 xml:space="preserve">    </w:t>
            </w:r>
            <w:r w:rsidR="009A6EDD" w:rsidRPr="009A6EDD">
              <w:rPr>
                <w:rFonts w:eastAsia="標楷體" w:hint="eastAsia"/>
              </w:rPr>
              <w:t>選任或解任董事、監察人、變更章程、減資、申請停止公開發行、董事競業許可、盈餘轉增資、公積轉增資、公司解散、合併、分割或公司法第一百八十五條第一項各款之事項、證券交易法第二十六條之一、第四十三條</w:t>
            </w:r>
          </w:p>
          <w:p w:rsidR="00015050" w:rsidRDefault="009A6EDD" w:rsidP="009A6EDD">
            <w:pPr>
              <w:rPr>
                <w:rFonts w:eastAsia="標楷體"/>
              </w:rPr>
            </w:pPr>
            <w:r w:rsidRPr="009A6EDD">
              <w:rPr>
                <w:rFonts w:eastAsia="標楷體" w:hint="eastAsia"/>
              </w:rPr>
              <w:t>之六、發行人募集與發行有價證券處理準則第五十六條之</w:t>
            </w:r>
            <w:proofErr w:type="gramStart"/>
            <w:r w:rsidRPr="009A6EDD">
              <w:rPr>
                <w:rFonts w:eastAsia="標楷體" w:hint="eastAsia"/>
              </w:rPr>
              <w:t>一</w:t>
            </w:r>
            <w:proofErr w:type="gramEnd"/>
            <w:r w:rsidRPr="009A6EDD">
              <w:rPr>
                <w:rFonts w:eastAsia="標楷體" w:hint="eastAsia"/>
              </w:rPr>
              <w:t>及第六十條之二之事項，應在召集事由中列舉並說明其主要內容，不得以臨時動議提出</w:t>
            </w:r>
            <w:r w:rsidRPr="009A6EDD">
              <w:rPr>
                <w:rFonts w:eastAsia="標楷體" w:hint="eastAsia"/>
                <w:u w:val="single"/>
              </w:rPr>
              <w:t>；其主要內容得置於證券主管機關或公司指定之網站，並應將其網址載明於通知</w:t>
            </w:r>
            <w:r w:rsidR="00015050" w:rsidRPr="00015050">
              <w:rPr>
                <w:rFonts w:eastAsia="標楷體" w:hint="eastAsia"/>
              </w:rPr>
              <w:t>。</w:t>
            </w: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21422A" w:rsidRPr="0062194E" w:rsidRDefault="009A6EDD" w:rsidP="007D756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以下略。</w:t>
            </w:r>
          </w:p>
        </w:tc>
        <w:tc>
          <w:tcPr>
            <w:tcW w:w="2766" w:type="dxa"/>
          </w:tcPr>
          <w:p w:rsidR="004F161E" w:rsidRDefault="004F161E" w:rsidP="000B7682">
            <w:pPr>
              <w:rPr>
                <w:rFonts w:eastAsia="標楷體"/>
              </w:rPr>
            </w:pPr>
          </w:p>
          <w:p w:rsidR="007D7569" w:rsidRDefault="007D7569" w:rsidP="000B7682">
            <w:pPr>
              <w:rPr>
                <w:rFonts w:eastAsia="標楷體"/>
              </w:rPr>
            </w:pPr>
          </w:p>
          <w:p w:rsidR="00DD5B14" w:rsidRDefault="00015050" w:rsidP="000B768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配合</w:t>
            </w:r>
            <w:r w:rsidR="007D7569">
              <w:rPr>
                <w:rFonts w:eastAsia="標楷體" w:hint="eastAsia"/>
              </w:rPr>
              <w:t>條文規範調整公告方式</w:t>
            </w:r>
            <w:r w:rsidR="00DF4275">
              <w:rPr>
                <w:rFonts w:eastAsia="標楷體" w:hint="eastAsia"/>
              </w:rPr>
              <w:t>。</w:t>
            </w: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030311" w:rsidRPr="00DD5B14" w:rsidRDefault="00030311" w:rsidP="00DD5B14">
            <w:pPr>
              <w:rPr>
                <w:rFonts w:eastAsia="標楷體"/>
              </w:rPr>
            </w:pPr>
          </w:p>
        </w:tc>
      </w:tr>
      <w:tr w:rsidR="000767F5" w:rsidRPr="00136BF2" w:rsidTr="00475A90">
        <w:tc>
          <w:tcPr>
            <w:tcW w:w="2765" w:type="dxa"/>
          </w:tcPr>
          <w:p w:rsidR="000767F5" w:rsidRDefault="000767F5" w:rsidP="000767F5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九</w:t>
            </w:r>
            <w:r w:rsidRPr="00C2573E">
              <w:rPr>
                <w:rFonts w:eastAsia="標楷體" w:hint="eastAsia"/>
              </w:rPr>
              <w:t>條</w:t>
            </w:r>
          </w:p>
          <w:p w:rsidR="000767F5" w:rsidRDefault="000767F5" w:rsidP="000767F5">
            <w:pPr>
              <w:rPr>
                <w:rFonts w:eastAsia="標楷體"/>
              </w:rPr>
            </w:pPr>
            <w:proofErr w:type="gramStart"/>
            <w:r w:rsidRPr="00DB4E89">
              <w:rPr>
                <w:rFonts w:eastAsia="標楷體" w:hint="eastAsia"/>
              </w:rPr>
              <w:t>第一</w:t>
            </w:r>
            <w:r>
              <w:rPr>
                <w:rFonts w:eastAsia="標楷體" w:hint="eastAsia"/>
              </w:rPr>
              <w:t>項略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0767F5" w:rsidRDefault="000767F5" w:rsidP="000767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767F5">
              <w:rPr>
                <w:rFonts w:eastAsia="標楷體" w:hint="eastAsia"/>
              </w:rPr>
              <w:t>已屆開會時間，主席應即宣布開會，</w:t>
            </w:r>
            <w:r w:rsidRPr="000767F5">
              <w:rPr>
                <w:rFonts w:eastAsia="標楷體" w:hint="eastAsia"/>
                <w:u w:val="single"/>
              </w:rPr>
              <w:t>並同時公布無表決權數及出席股份數等相關資訊。</w:t>
            </w:r>
          </w:p>
          <w:p w:rsidR="000767F5" w:rsidRDefault="000767F5" w:rsidP="000767F5">
            <w:pPr>
              <w:rPr>
                <w:rFonts w:eastAsia="標楷體"/>
              </w:rPr>
            </w:pPr>
            <w:r w:rsidRPr="000767F5">
              <w:rPr>
                <w:rFonts w:eastAsia="標楷體" w:hint="eastAsia"/>
              </w:rPr>
              <w:t>惟未有代表已發行股份總數過半數之股東出席時，主席得宣布延後開會，其延後次數以二次為限，延後時間合計不得超過一小時。延</w:t>
            </w:r>
            <w:proofErr w:type="gramStart"/>
            <w:r w:rsidRPr="000767F5">
              <w:rPr>
                <w:rFonts w:eastAsia="標楷體" w:hint="eastAsia"/>
              </w:rPr>
              <w:t>後二</w:t>
            </w:r>
            <w:r w:rsidRPr="000767F5">
              <w:rPr>
                <w:rFonts w:eastAsia="標楷體" w:hint="eastAsia"/>
              </w:rPr>
              <w:lastRenderedPageBreak/>
              <w:t>次仍不足</w:t>
            </w:r>
            <w:proofErr w:type="gramEnd"/>
            <w:r w:rsidRPr="000767F5">
              <w:rPr>
                <w:rFonts w:eastAsia="標楷體" w:hint="eastAsia"/>
              </w:rPr>
              <w:t>有代表已發行股份總數三分之一以上股東出席時，由主席宣布流會。</w:t>
            </w:r>
          </w:p>
          <w:p w:rsidR="000767F5" w:rsidRPr="00C2573E" w:rsidRDefault="000767F5" w:rsidP="000767F5">
            <w:pPr>
              <w:rPr>
                <w:rFonts w:eastAsia="標楷體"/>
              </w:rPr>
            </w:pPr>
          </w:p>
          <w:p w:rsidR="000767F5" w:rsidRPr="00BA1D1B" w:rsidRDefault="000767F5" w:rsidP="000767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</w:t>
            </w:r>
            <w:r w:rsidRPr="00C2573E">
              <w:rPr>
                <w:rFonts w:eastAsia="標楷體" w:hint="eastAsia"/>
              </w:rPr>
              <w:t>略。</w:t>
            </w:r>
          </w:p>
        </w:tc>
        <w:tc>
          <w:tcPr>
            <w:tcW w:w="2765" w:type="dxa"/>
          </w:tcPr>
          <w:p w:rsidR="000767F5" w:rsidRDefault="000767F5" w:rsidP="000767F5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九</w:t>
            </w:r>
            <w:r w:rsidRPr="00C2573E">
              <w:rPr>
                <w:rFonts w:eastAsia="標楷體" w:hint="eastAsia"/>
              </w:rPr>
              <w:t>條</w:t>
            </w:r>
          </w:p>
          <w:p w:rsidR="000767F5" w:rsidRDefault="000767F5" w:rsidP="000767F5">
            <w:pPr>
              <w:rPr>
                <w:rFonts w:eastAsia="標楷體"/>
              </w:rPr>
            </w:pPr>
            <w:proofErr w:type="gramStart"/>
            <w:r w:rsidRPr="000767F5">
              <w:rPr>
                <w:rFonts w:eastAsia="標楷體" w:hint="eastAsia"/>
              </w:rPr>
              <w:t>第一項略</w:t>
            </w:r>
            <w:proofErr w:type="gramEnd"/>
            <w:r w:rsidRPr="000767F5">
              <w:rPr>
                <w:rFonts w:eastAsia="標楷體" w:hint="eastAsia"/>
              </w:rPr>
              <w:t>。</w:t>
            </w:r>
          </w:p>
          <w:p w:rsidR="000767F5" w:rsidRDefault="000767F5" w:rsidP="000767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767F5">
              <w:rPr>
                <w:rFonts w:eastAsia="標楷體" w:hint="eastAsia"/>
              </w:rPr>
              <w:t>已屆開會時間，主席應即宣布開會，惟未有代表已發行股份總數過半數之股東出席時，主席得宣布延後開會，其延後次數以二次為限，延後時間合計不得超過一小時。延</w:t>
            </w:r>
            <w:proofErr w:type="gramStart"/>
            <w:r w:rsidRPr="000767F5">
              <w:rPr>
                <w:rFonts w:eastAsia="標楷體" w:hint="eastAsia"/>
              </w:rPr>
              <w:t>後二次仍不足</w:t>
            </w:r>
            <w:proofErr w:type="gramEnd"/>
            <w:r w:rsidRPr="000767F5">
              <w:rPr>
                <w:rFonts w:eastAsia="標楷體" w:hint="eastAsia"/>
              </w:rPr>
              <w:t>有代表已發行股份總數三分之一以上股</w:t>
            </w:r>
            <w:r w:rsidRPr="000767F5">
              <w:rPr>
                <w:rFonts w:eastAsia="標楷體" w:hint="eastAsia"/>
              </w:rPr>
              <w:lastRenderedPageBreak/>
              <w:t>東出席時，由主席宣布流會。</w:t>
            </w:r>
          </w:p>
          <w:p w:rsidR="000767F5" w:rsidRDefault="000767F5" w:rsidP="000767F5">
            <w:pPr>
              <w:rPr>
                <w:rFonts w:eastAsia="標楷體"/>
              </w:rPr>
            </w:pPr>
          </w:p>
          <w:p w:rsidR="000767F5" w:rsidRDefault="000767F5" w:rsidP="000767F5">
            <w:pPr>
              <w:rPr>
                <w:rFonts w:eastAsia="標楷體"/>
              </w:rPr>
            </w:pPr>
          </w:p>
          <w:p w:rsidR="000767F5" w:rsidRDefault="000767F5" w:rsidP="000767F5">
            <w:pPr>
              <w:rPr>
                <w:rFonts w:eastAsia="標楷體"/>
              </w:rPr>
            </w:pPr>
          </w:p>
          <w:p w:rsidR="000767F5" w:rsidRPr="00C2573E" w:rsidRDefault="000767F5" w:rsidP="000767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</w:t>
            </w:r>
            <w:r w:rsidRPr="00C2573E">
              <w:rPr>
                <w:rFonts w:eastAsia="標楷體" w:hint="eastAsia"/>
              </w:rPr>
              <w:t>略。</w:t>
            </w:r>
          </w:p>
        </w:tc>
        <w:tc>
          <w:tcPr>
            <w:tcW w:w="2766" w:type="dxa"/>
          </w:tcPr>
          <w:p w:rsidR="000767F5" w:rsidRDefault="000767F5" w:rsidP="00BA1D1B">
            <w:pPr>
              <w:rPr>
                <w:rFonts w:eastAsia="標楷體"/>
              </w:rPr>
            </w:pPr>
          </w:p>
          <w:p w:rsidR="000767F5" w:rsidRDefault="000767F5" w:rsidP="00BA1D1B">
            <w:pPr>
              <w:rPr>
                <w:rFonts w:eastAsia="標楷體"/>
              </w:rPr>
            </w:pPr>
          </w:p>
          <w:p w:rsidR="000767F5" w:rsidRDefault="000767F5" w:rsidP="00AF4959">
            <w:pPr>
              <w:rPr>
                <w:rFonts w:eastAsia="標楷體"/>
              </w:rPr>
            </w:pPr>
            <w:r w:rsidRPr="000767F5">
              <w:rPr>
                <w:rFonts w:eastAsia="標楷體" w:hint="eastAsia"/>
              </w:rPr>
              <w:t>為</w:t>
            </w:r>
            <w:r w:rsidR="009A6EDD">
              <w:rPr>
                <w:rFonts w:eastAsia="標楷體" w:hint="eastAsia"/>
              </w:rPr>
              <w:t>提升公司治理並</w:t>
            </w:r>
            <w:r w:rsidRPr="000767F5">
              <w:rPr>
                <w:rFonts w:eastAsia="標楷體" w:hint="eastAsia"/>
              </w:rPr>
              <w:t>維護股東</w:t>
            </w:r>
            <w:r w:rsidR="009A6EDD">
              <w:rPr>
                <w:rFonts w:eastAsia="標楷體" w:hint="eastAsia"/>
              </w:rPr>
              <w:t>之</w:t>
            </w:r>
            <w:r w:rsidRPr="000767F5">
              <w:rPr>
                <w:rFonts w:eastAsia="標楷體" w:hint="eastAsia"/>
              </w:rPr>
              <w:t>權益，修正第</w:t>
            </w:r>
            <w:r w:rsidR="00AF4959">
              <w:rPr>
                <w:rFonts w:eastAsia="標楷體" w:hint="eastAsia"/>
                <w:lang w:eastAsia="zh-HK"/>
              </w:rPr>
              <w:t>二</w:t>
            </w:r>
            <w:r w:rsidRPr="000767F5">
              <w:rPr>
                <w:rFonts w:eastAsia="標楷體" w:hint="eastAsia"/>
              </w:rPr>
              <w:t>項。</w:t>
            </w:r>
          </w:p>
        </w:tc>
      </w:tr>
      <w:tr w:rsidR="009A6EDD" w:rsidRPr="00136BF2" w:rsidTr="00475A90">
        <w:tc>
          <w:tcPr>
            <w:tcW w:w="2765" w:type="dxa"/>
          </w:tcPr>
          <w:p w:rsidR="009A6EDD" w:rsidRDefault="009A6EDD" w:rsidP="009A6EDD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十四</w:t>
            </w:r>
            <w:r w:rsidRPr="00C2573E">
              <w:rPr>
                <w:rFonts w:eastAsia="標楷體" w:hint="eastAsia"/>
              </w:rPr>
              <w:t>條</w:t>
            </w:r>
          </w:p>
          <w:p w:rsidR="009A6EDD" w:rsidRDefault="009A6EDD" w:rsidP="009A6ED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9A6EDD">
              <w:rPr>
                <w:rFonts w:eastAsia="標楷體" w:hint="eastAsia"/>
              </w:rPr>
              <w:t>股東會有選舉董事、監察人時，應依本公司所訂相關選任規範辦理，並應當場宣布選舉結果，包含當選董事、監察人之名單與其當選權數</w:t>
            </w:r>
            <w:r w:rsidRPr="009A6EDD">
              <w:rPr>
                <w:rFonts w:eastAsia="標楷體" w:hint="eastAsia"/>
                <w:u w:val="single"/>
              </w:rPr>
              <w:t>及落選董監事名單及其獲得之選舉權數</w:t>
            </w:r>
            <w:r w:rsidRPr="009A6EDD">
              <w:rPr>
                <w:rFonts w:eastAsia="標楷體" w:hint="eastAsia"/>
              </w:rPr>
              <w:t>。</w:t>
            </w:r>
          </w:p>
          <w:p w:rsidR="009A6EDD" w:rsidRPr="00C2573E" w:rsidRDefault="009A6EDD" w:rsidP="009A6EDD">
            <w:pPr>
              <w:rPr>
                <w:rFonts w:eastAsia="標楷體"/>
              </w:rPr>
            </w:pPr>
          </w:p>
          <w:p w:rsidR="009A6EDD" w:rsidRPr="00BA1D1B" w:rsidRDefault="009A6EDD" w:rsidP="009A6EDD">
            <w:pPr>
              <w:rPr>
                <w:rFonts w:eastAsia="標楷體"/>
              </w:rPr>
            </w:pPr>
            <w:proofErr w:type="gramStart"/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 w:rsidRPr="00C2573E">
              <w:rPr>
                <w:rFonts w:eastAsia="標楷體" w:hint="eastAsia"/>
              </w:rPr>
              <w:t>項略</w:t>
            </w:r>
            <w:proofErr w:type="gramEnd"/>
            <w:r w:rsidRPr="00C2573E">
              <w:rPr>
                <w:rFonts w:eastAsia="標楷體" w:hint="eastAsia"/>
              </w:rPr>
              <w:t>。</w:t>
            </w:r>
          </w:p>
        </w:tc>
        <w:tc>
          <w:tcPr>
            <w:tcW w:w="2765" w:type="dxa"/>
          </w:tcPr>
          <w:p w:rsidR="009A6EDD" w:rsidRPr="00C2573E" w:rsidRDefault="009A6EDD" w:rsidP="009A6EDD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十四</w:t>
            </w:r>
            <w:r w:rsidRPr="00C2573E">
              <w:rPr>
                <w:rFonts w:eastAsia="標楷體" w:hint="eastAsia"/>
              </w:rPr>
              <w:t>條</w:t>
            </w:r>
          </w:p>
          <w:p w:rsidR="009A6EDD" w:rsidRDefault="009A6EDD" w:rsidP="009A6ED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9A6EDD">
              <w:rPr>
                <w:rFonts w:eastAsia="標楷體" w:hint="eastAsia"/>
              </w:rPr>
              <w:t>股東會有選舉董事、監察人時，應依本公司所訂相關選任規範辦理，並應當場宣布選舉結果，包含當選董事、監察人之名單與其當選權數。</w:t>
            </w: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Pr="00C2573E" w:rsidRDefault="009A6EDD" w:rsidP="009A6EDD">
            <w:pPr>
              <w:rPr>
                <w:rFonts w:eastAsia="標楷體"/>
              </w:rPr>
            </w:pPr>
            <w:proofErr w:type="gramStart"/>
            <w:r w:rsidRPr="000767F5">
              <w:rPr>
                <w:rFonts w:eastAsia="標楷體" w:hint="eastAsia"/>
              </w:rPr>
              <w:t>第二項略</w:t>
            </w:r>
            <w:proofErr w:type="gramEnd"/>
            <w:r w:rsidRPr="000767F5">
              <w:rPr>
                <w:rFonts w:eastAsia="標楷體" w:hint="eastAsia"/>
              </w:rPr>
              <w:t>。</w:t>
            </w:r>
          </w:p>
        </w:tc>
        <w:tc>
          <w:tcPr>
            <w:tcW w:w="2766" w:type="dxa"/>
          </w:tcPr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845EE6" w:rsidP="009A6ED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為提升公司治理並維護股東之權益</w:t>
            </w:r>
            <w:r w:rsidR="009A6EDD" w:rsidRPr="00E3063F">
              <w:rPr>
                <w:rFonts w:eastAsia="標楷體" w:hint="eastAsia"/>
              </w:rPr>
              <w:t>，修正第</w:t>
            </w:r>
            <w:r w:rsidR="009A6EDD">
              <w:rPr>
                <w:rFonts w:eastAsia="標楷體" w:hint="eastAsia"/>
              </w:rPr>
              <w:t>一</w:t>
            </w:r>
            <w:r w:rsidR="009A6EDD" w:rsidRPr="00E3063F">
              <w:rPr>
                <w:rFonts w:eastAsia="標楷體" w:hint="eastAsia"/>
              </w:rPr>
              <w:t>項。</w:t>
            </w: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9A6EDD" w:rsidP="009A6EDD">
            <w:pPr>
              <w:rPr>
                <w:rFonts w:eastAsia="標楷體"/>
              </w:rPr>
            </w:pPr>
          </w:p>
        </w:tc>
      </w:tr>
    </w:tbl>
    <w:p w:rsidR="00475A90" w:rsidRPr="0062194E" w:rsidRDefault="00475A90" w:rsidP="008E4758">
      <w:pPr>
        <w:rPr>
          <w:rFonts w:eastAsia="標楷體"/>
        </w:rPr>
      </w:pPr>
    </w:p>
    <w:sectPr w:rsidR="00475A90" w:rsidRPr="00621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4A" w:rsidRDefault="00D64D4A" w:rsidP="00CB3D95">
      <w:r>
        <w:separator/>
      </w:r>
    </w:p>
  </w:endnote>
  <w:endnote w:type="continuationSeparator" w:id="0">
    <w:p w:rsidR="00D64D4A" w:rsidRDefault="00D64D4A" w:rsidP="00C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0C" w:rsidRDefault="00E634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358913"/>
      <w:docPartObj>
        <w:docPartGallery w:val="Page Numbers (Bottom of Page)"/>
        <w:docPartUnique/>
      </w:docPartObj>
    </w:sdtPr>
    <w:sdtEndPr/>
    <w:sdtContent>
      <w:p w:rsidR="00845EE6" w:rsidRDefault="00845E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AB" w:rsidRPr="00F96EAB">
          <w:rPr>
            <w:noProof/>
            <w:lang w:val="zh-TW"/>
          </w:rPr>
          <w:t>1</w:t>
        </w:r>
        <w:r>
          <w:fldChar w:fldCharType="end"/>
        </w:r>
      </w:p>
    </w:sdtContent>
  </w:sdt>
  <w:p w:rsidR="00553E37" w:rsidRDefault="00553E37" w:rsidP="00553E37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0C" w:rsidRDefault="00E634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4A" w:rsidRDefault="00D64D4A" w:rsidP="00CB3D95">
      <w:r>
        <w:separator/>
      </w:r>
    </w:p>
  </w:footnote>
  <w:footnote w:type="continuationSeparator" w:id="0">
    <w:p w:rsidR="00D64D4A" w:rsidRDefault="00D64D4A" w:rsidP="00CB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0C" w:rsidRDefault="00E634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AB" w:rsidRDefault="00F96EAB">
    <w:pPr>
      <w:pStyle w:val="a4"/>
      <w:jc w:val="right"/>
      <w:rPr>
        <w:color w:val="8496B0" w:themeColor="text2" w:themeTint="99"/>
        <w:sz w:val="24"/>
        <w:szCs w:val="24"/>
      </w:rPr>
    </w:pPr>
    <w:bookmarkStart w:id="0" w:name="_GoBack"/>
    <w:bookmarkEnd w:id="0"/>
  </w:p>
  <w:p w:rsidR="00553E37" w:rsidRDefault="00553E37" w:rsidP="00553E37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0C" w:rsidRDefault="00E634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4E2"/>
    <w:multiLevelType w:val="hybridMultilevel"/>
    <w:tmpl w:val="C5666324"/>
    <w:lvl w:ilvl="0" w:tplc="D54A0A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502FF"/>
    <w:multiLevelType w:val="hybridMultilevel"/>
    <w:tmpl w:val="BABC5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58"/>
    <w:rsid w:val="00015050"/>
    <w:rsid w:val="0002285E"/>
    <w:rsid w:val="00030311"/>
    <w:rsid w:val="00030504"/>
    <w:rsid w:val="00037708"/>
    <w:rsid w:val="0004010B"/>
    <w:rsid w:val="0004337D"/>
    <w:rsid w:val="00046A6F"/>
    <w:rsid w:val="00053B09"/>
    <w:rsid w:val="000767F5"/>
    <w:rsid w:val="000B7682"/>
    <w:rsid w:val="000C1F4B"/>
    <w:rsid w:val="000D4514"/>
    <w:rsid w:val="000F7FD8"/>
    <w:rsid w:val="00115AC0"/>
    <w:rsid w:val="00127049"/>
    <w:rsid w:val="00136BF2"/>
    <w:rsid w:val="001669BD"/>
    <w:rsid w:val="00181D3C"/>
    <w:rsid w:val="00182A05"/>
    <w:rsid w:val="00190D27"/>
    <w:rsid w:val="00195524"/>
    <w:rsid w:val="001A29F7"/>
    <w:rsid w:val="001D17BF"/>
    <w:rsid w:val="001D44A5"/>
    <w:rsid w:val="0021071A"/>
    <w:rsid w:val="0021422A"/>
    <w:rsid w:val="0022255A"/>
    <w:rsid w:val="00244729"/>
    <w:rsid w:val="00253C1A"/>
    <w:rsid w:val="002709B7"/>
    <w:rsid w:val="00272261"/>
    <w:rsid w:val="002739B6"/>
    <w:rsid w:val="002873C0"/>
    <w:rsid w:val="002A450D"/>
    <w:rsid w:val="002D5659"/>
    <w:rsid w:val="002E424A"/>
    <w:rsid w:val="002E7B2A"/>
    <w:rsid w:val="00306FED"/>
    <w:rsid w:val="00337C93"/>
    <w:rsid w:val="0036125F"/>
    <w:rsid w:val="0039679E"/>
    <w:rsid w:val="003B31F6"/>
    <w:rsid w:val="003C785E"/>
    <w:rsid w:val="003D1D0D"/>
    <w:rsid w:val="003D480B"/>
    <w:rsid w:val="003E0DF7"/>
    <w:rsid w:val="003E724A"/>
    <w:rsid w:val="00435004"/>
    <w:rsid w:val="00446EF7"/>
    <w:rsid w:val="0046553C"/>
    <w:rsid w:val="00475A90"/>
    <w:rsid w:val="00490E46"/>
    <w:rsid w:val="004A3AD6"/>
    <w:rsid w:val="004B240E"/>
    <w:rsid w:val="004B31B5"/>
    <w:rsid w:val="004B7121"/>
    <w:rsid w:val="004E651A"/>
    <w:rsid w:val="004F03F9"/>
    <w:rsid w:val="004F07F1"/>
    <w:rsid w:val="004F161E"/>
    <w:rsid w:val="00531A3C"/>
    <w:rsid w:val="00535117"/>
    <w:rsid w:val="00553E37"/>
    <w:rsid w:val="00560415"/>
    <w:rsid w:val="00560498"/>
    <w:rsid w:val="00561480"/>
    <w:rsid w:val="005741CB"/>
    <w:rsid w:val="005A3670"/>
    <w:rsid w:val="005B0BFC"/>
    <w:rsid w:val="005C387C"/>
    <w:rsid w:val="005D248A"/>
    <w:rsid w:val="005F4A76"/>
    <w:rsid w:val="005F6331"/>
    <w:rsid w:val="005F7E71"/>
    <w:rsid w:val="00605A45"/>
    <w:rsid w:val="00606059"/>
    <w:rsid w:val="00610A0C"/>
    <w:rsid w:val="006132B7"/>
    <w:rsid w:val="0062194E"/>
    <w:rsid w:val="006254BB"/>
    <w:rsid w:val="00633B76"/>
    <w:rsid w:val="00650E3E"/>
    <w:rsid w:val="00676B7D"/>
    <w:rsid w:val="006A5CAB"/>
    <w:rsid w:val="006A5E07"/>
    <w:rsid w:val="006B3CBB"/>
    <w:rsid w:val="006C3876"/>
    <w:rsid w:val="006C5625"/>
    <w:rsid w:val="006C672E"/>
    <w:rsid w:val="006E48F8"/>
    <w:rsid w:val="006E6649"/>
    <w:rsid w:val="006F0898"/>
    <w:rsid w:val="00716AA1"/>
    <w:rsid w:val="007414C4"/>
    <w:rsid w:val="0076151E"/>
    <w:rsid w:val="00766DC5"/>
    <w:rsid w:val="00767DE1"/>
    <w:rsid w:val="0078104B"/>
    <w:rsid w:val="007B45DD"/>
    <w:rsid w:val="007C534E"/>
    <w:rsid w:val="007D7569"/>
    <w:rsid w:val="00813013"/>
    <w:rsid w:val="008207B1"/>
    <w:rsid w:val="00837214"/>
    <w:rsid w:val="00845EE6"/>
    <w:rsid w:val="00867627"/>
    <w:rsid w:val="00877F7D"/>
    <w:rsid w:val="008A4A52"/>
    <w:rsid w:val="008D49A0"/>
    <w:rsid w:val="008D74F1"/>
    <w:rsid w:val="008E4758"/>
    <w:rsid w:val="008F7F6F"/>
    <w:rsid w:val="00910E8E"/>
    <w:rsid w:val="009179B0"/>
    <w:rsid w:val="00925AD3"/>
    <w:rsid w:val="00936C6E"/>
    <w:rsid w:val="009534CD"/>
    <w:rsid w:val="00996C49"/>
    <w:rsid w:val="009A18B2"/>
    <w:rsid w:val="009A1958"/>
    <w:rsid w:val="009A6EDD"/>
    <w:rsid w:val="009B6836"/>
    <w:rsid w:val="009C42B0"/>
    <w:rsid w:val="009C6C01"/>
    <w:rsid w:val="009D31E8"/>
    <w:rsid w:val="009D78D4"/>
    <w:rsid w:val="009E2B97"/>
    <w:rsid w:val="00A0548D"/>
    <w:rsid w:val="00A21B53"/>
    <w:rsid w:val="00A85868"/>
    <w:rsid w:val="00AC1A81"/>
    <w:rsid w:val="00AE6CED"/>
    <w:rsid w:val="00AE70B4"/>
    <w:rsid w:val="00AF4959"/>
    <w:rsid w:val="00AF5B32"/>
    <w:rsid w:val="00B2372A"/>
    <w:rsid w:val="00B73A21"/>
    <w:rsid w:val="00B94BDD"/>
    <w:rsid w:val="00BA1BC1"/>
    <w:rsid w:val="00BA1D1B"/>
    <w:rsid w:val="00BB6A8A"/>
    <w:rsid w:val="00BC3115"/>
    <w:rsid w:val="00BC5783"/>
    <w:rsid w:val="00BE0180"/>
    <w:rsid w:val="00BF1BD5"/>
    <w:rsid w:val="00BF4EA9"/>
    <w:rsid w:val="00C01F0C"/>
    <w:rsid w:val="00C114DB"/>
    <w:rsid w:val="00C124EF"/>
    <w:rsid w:val="00C17F5B"/>
    <w:rsid w:val="00C2573E"/>
    <w:rsid w:val="00C54AAF"/>
    <w:rsid w:val="00C60F10"/>
    <w:rsid w:val="00C64145"/>
    <w:rsid w:val="00CB3D95"/>
    <w:rsid w:val="00CC3015"/>
    <w:rsid w:val="00CC75E1"/>
    <w:rsid w:val="00CE6BC9"/>
    <w:rsid w:val="00D01F72"/>
    <w:rsid w:val="00D07CED"/>
    <w:rsid w:val="00D41E8F"/>
    <w:rsid w:val="00D420E0"/>
    <w:rsid w:val="00D45000"/>
    <w:rsid w:val="00D64AD3"/>
    <w:rsid w:val="00D64D4A"/>
    <w:rsid w:val="00D6769A"/>
    <w:rsid w:val="00D85054"/>
    <w:rsid w:val="00DB4E89"/>
    <w:rsid w:val="00DC1331"/>
    <w:rsid w:val="00DD5B14"/>
    <w:rsid w:val="00DF3DD5"/>
    <w:rsid w:val="00DF4275"/>
    <w:rsid w:val="00DF4FCF"/>
    <w:rsid w:val="00E00931"/>
    <w:rsid w:val="00E10C0D"/>
    <w:rsid w:val="00E1329D"/>
    <w:rsid w:val="00E14A31"/>
    <w:rsid w:val="00E165A2"/>
    <w:rsid w:val="00E3063F"/>
    <w:rsid w:val="00E565D0"/>
    <w:rsid w:val="00E56F40"/>
    <w:rsid w:val="00E57F59"/>
    <w:rsid w:val="00E6340C"/>
    <w:rsid w:val="00E815A8"/>
    <w:rsid w:val="00E9563E"/>
    <w:rsid w:val="00EA0EAA"/>
    <w:rsid w:val="00F22E9F"/>
    <w:rsid w:val="00F43889"/>
    <w:rsid w:val="00F656FF"/>
    <w:rsid w:val="00F65F73"/>
    <w:rsid w:val="00F672FD"/>
    <w:rsid w:val="00F7678A"/>
    <w:rsid w:val="00F96488"/>
    <w:rsid w:val="00F96EAB"/>
    <w:rsid w:val="00FA428F"/>
    <w:rsid w:val="00FC09B0"/>
    <w:rsid w:val="00FC7B50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BD46D-8542-4F9C-934D-B2E25002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D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D95"/>
    <w:rPr>
      <w:sz w:val="20"/>
      <w:szCs w:val="20"/>
    </w:rPr>
  </w:style>
  <w:style w:type="paragraph" w:styleId="a8">
    <w:name w:val="List Paragraph"/>
    <w:basedOn w:val="a"/>
    <w:uiPriority w:val="34"/>
    <w:qFormat/>
    <w:rsid w:val="00A8586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3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40"/>
    <w:rsid w:val="001F4320"/>
    <w:rsid w:val="004A4E40"/>
    <w:rsid w:val="004B58B4"/>
    <w:rsid w:val="00C4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A23789B1A741B089DF079220ECC731">
    <w:name w:val="C9A23789B1A741B089DF079220ECC731"/>
    <w:rsid w:val="004A4E4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F885-3CB7-4230-AB07-A15F0593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149</Words>
  <Characters>854</Characters>
  <Application>Microsoft Office Word</Application>
  <DocSecurity>0</DocSecurity>
  <Lines>7</Lines>
  <Paragraphs>2</Paragraphs>
  <ScaleCrop>false</ScaleCrop>
  <Company>TWSE 臺灣證券交易所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陳櫻樺</dc:creator>
  <cp:keywords/>
  <dc:description/>
  <cp:lastModifiedBy>郭梅芬</cp:lastModifiedBy>
  <cp:revision>9</cp:revision>
  <cp:lastPrinted>2018-09-05T07:30:00Z</cp:lastPrinted>
  <dcterms:created xsi:type="dcterms:W3CDTF">2020-12-07T09:15:00Z</dcterms:created>
  <dcterms:modified xsi:type="dcterms:W3CDTF">2021-01-28T09:30:00Z</dcterms:modified>
</cp:coreProperties>
</file>